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156" w:afterLines="50" w:afterAutospacing="0"/>
        <w:jc w:val="center"/>
        <w:rPr>
          <w:rFonts w:hAnsi="Calibri" w:cs="Calibri"/>
          <w:b/>
          <w:color w:val="auto"/>
          <w:kern w:val="2"/>
          <w:sz w:val="36"/>
          <w:szCs w:val="22"/>
        </w:rPr>
      </w:pPr>
      <w:r>
        <w:rPr>
          <w:rFonts w:hint="eastAsia"/>
          <w:b/>
          <w:bCs/>
          <w:color w:val="auto"/>
          <w:sz w:val="36"/>
          <w:szCs w:val="36"/>
          <w:lang w:val="en-US" w:eastAsia="zh-CN"/>
        </w:rPr>
        <w:t>2023年</w:t>
      </w:r>
      <w:r>
        <w:rPr>
          <w:rFonts w:hint="eastAsia"/>
          <w:b/>
          <w:bCs/>
          <w:color w:val="auto"/>
          <w:sz w:val="36"/>
          <w:szCs w:val="36"/>
        </w:rPr>
        <w:t>《</w:t>
      </w:r>
      <w:r>
        <w:rPr>
          <w:rFonts w:hint="eastAsia"/>
          <w:b/>
          <w:bCs/>
          <w:color w:val="auto"/>
          <w:sz w:val="36"/>
          <w:szCs w:val="36"/>
          <w:lang w:val="en-US" w:eastAsia="zh-CN"/>
        </w:rPr>
        <w:t>综合素质</w:t>
      </w:r>
      <w:r>
        <w:rPr>
          <w:rFonts w:hint="eastAsia"/>
          <w:b/>
          <w:bCs/>
          <w:color w:val="auto"/>
          <w:sz w:val="36"/>
          <w:szCs w:val="36"/>
        </w:rPr>
        <w:t>》</w:t>
      </w:r>
      <w:r>
        <w:rPr>
          <w:rFonts w:hint="eastAsia" w:hAnsi="Calibri" w:cs="Calibri"/>
          <w:b/>
          <w:color w:val="auto"/>
          <w:kern w:val="2"/>
          <w:sz w:val="36"/>
          <w:szCs w:val="22"/>
        </w:rPr>
        <w:t>考试大纲</w:t>
      </w:r>
    </w:p>
    <w:p>
      <w:pPr>
        <w:widowControl/>
        <w:shd w:val="clear" w:color="auto" w:fill="FFFFFF"/>
        <w:spacing w:line="360" w:lineRule="auto"/>
        <w:ind w:firstLine="482" w:firstLineChars="200"/>
        <w:rPr>
          <w:rFonts w:ascii="宋体" w:hAnsi="宋体"/>
          <w:color w:val="auto"/>
          <w:sz w:val="24"/>
        </w:rPr>
      </w:pPr>
      <w:r>
        <w:rPr>
          <w:rFonts w:hint="eastAsia"/>
          <w:b/>
          <w:bCs/>
          <w:color w:val="auto"/>
          <w:sz w:val="24"/>
        </w:rPr>
        <w:t>课程说明：</w:t>
      </w:r>
      <w:r>
        <w:rPr>
          <w:rFonts w:hint="eastAsia"/>
          <w:color w:val="auto"/>
          <w:sz w:val="24"/>
        </w:rPr>
        <w:t>《</w:t>
      </w:r>
      <w:r>
        <w:rPr>
          <w:rFonts w:hint="eastAsia"/>
          <w:color w:val="auto"/>
          <w:sz w:val="24"/>
          <w:lang w:val="en-US" w:eastAsia="zh-CN"/>
        </w:rPr>
        <w:t>综合素质</w:t>
      </w:r>
      <w:r>
        <w:rPr>
          <w:rFonts w:hint="eastAsia"/>
          <w:color w:val="auto"/>
          <w:sz w:val="24"/>
        </w:rPr>
        <w:t>》是一门综合性</w:t>
      </w:r>
      <w:r>
        <w:rPr>
          <w:rFonts w:hint="eastAsia"/>
          <w:color w:val="auto"/>
          <w:sz w:val="24"/>
          <w:lang w:val="en-US" w:eastAsia="zh-CN"/>
        </w:rPr>
        <w:t>科目</w:t>
      </w:r>
      <w:r>
        <w:rPr>
          <w:rFonts w:hint="eastAsia"/>
          <w:color w:val="auto"/>
          <w:sz w:val="24"/>
        </w:rPr>
        <w:t>，</w:t>
      </w:r>
      <w:r>
        <w:rPr>
          <w:rFonts w:hint="eastAsia"/>
          <w:color w:val="auto"/>
          <w:sz w:val="24"/>
          <w:lang w:val="en-US" w:eastAsia="zh-CN"/>
        </w:rPr>
        <w:t>考查内容包含两</w:t>
      </w:r>
      <w:r>
        <w:rPr>
          <w:rFonts w:hint="eastAsia"/>
          <w:color w:val="auto"/>
          <w:sz w:val="24"/>
        </w:rPr>
        <w:t>部分：第一部分</w:t>
      </w:r>
      <w:r>
        <w:rPr>
          <w:rFonts w:hint="eastAsia"/>
          <w:color w:val="auto"/>
          <w:sz w:val="24"/>
          <w:lang w:eastAsia="zh-CN"/>
        </w:rPr>
        <w:t>“</w:t>
      </w:r>
      <w:r>
        <w:rPr>
          <w:rFonts w:hint="eastAsia"/>
          <w:color w:val="auto"/>
          <w:sz w:val="24"/>
        </w:rPr>
        <w:t>时事政治</w:t>
      </w:r>
      <w:r>
        <w:rPr>
          <w:rFonts w:hint="eastAsia"/>
          <w:color w:val="auto"/>
          <w:sz w:val="24"/>
          <w:lang w:eastAsia="zh-CN"/>
        </w:rPr>
        <w:t>”</w:t>
      </w:r>
      <w:r>
        <w:rPr>
          <w:rFonts w:hint="eastAsia"/>
          <w:color w:val="auto"/>
          <w:sz w:val="24"/>
        </w:rPr>
        <w:t>、第二部分</w:t>
      </w:r>
      <w:r>
        <w:rPr>
          <w:rFonts w:hint="eastAsia"/>
          <w:color w:val="auto"/>
          <w:sz w:val="24"/>
          <w:lang w:eastAsia="zh-CN"/>
        </w:rPr>
        <w:t>“</w:t>
      </w:r>
      <w:r>
        <w:rPr>
          <w:rFonts w:hint="eastAsia"/>
          <w:color w:val="auto"/>
          <w:sz w:val="24"/>
          <w:lang w:val="en-US" w:eastAsia="zh-CN"/>
        </w:rPr>
        <w:t>文学常识</w:t>
      </w:r>
      <w:r>
        <w:rPr>
          <w:rFonts w:hint="eastAsia"/>
          <w:color w:val="auto"/>
          <w:sz w:val="24"/>
          <w:lang w:eastAsia="zh-CN"/>
        </w:rPr>
        <w:t>”，</w:t>
      </w:r>
      <w:r>
        <w:rPr>
          <w:rFonts w:hint="eastAsia" w:ascii="宋体" w:hAnsi="宋体"/>
          <w:color w:val="auto"/>
          <w:sz w:val="24"/>
        </w:rPr>
        <w:t>采用笔试闭卷考核，考试时间为</w:t>
      </w:r>
      <w:r>
        <w:rPr>
          <w:rFonts w:hint="eastAsia" w:ascii="宋体" w:hAnsi="宋体"/>
          <w:color w:val="auto"/>
          <w:sz w:val="24"/>
          <w:lang w:val="en-US" w:eastAsia="zh-CN"/>
        </w:rPr>
        <w:t>60</w:t>
      </w:r>
      <w:r>
        <w:rPr>
          <w:rFonts w:hint="eastAsia" w:ascii="宋体" w:hAnsi="宋体"/>
          <w:color w:val="auto"/>
          <w:sz w:val="24"/>
        </w:rPr>
        <w:t>分钟</w:t>
      </w:r>
      <w:r>
        <w:rPr>
          <w:rFonts w:hint="eastAsia" w:ascii="宋体" w:hAnsi="宋体"/>
          <w:color w:val="auto"/>
          <w:sz w:val="24"/>
          <w:lang w:eastAsia="zh-CN"/>
        </w:rPr>
        <w:t>。</w:t>
      </w:r>
      <w:r>
        <w:rPr>
          <w:rFonts w:hint="eastAsia" w:ascii="宋体" w:hAnsi="宋体"/>
          <w:color w:val="auto"/>
          <w:sz w:val="24"/>
        </w:rPr>
        <w:t>试卷满分为100分</w:t>
      </w:r>
      <w:r>
        <w:rPr>
          <w:rFonts w:hint="eastAsia" w:ascii="宋体" w:hAnsi="宋体"/>
          <w:color w:val="auto"/>
          <w:sz w:val="24"/>
          <w:lang w:eastAsia="zh-CN"/>
        </w:rPr>
        <w:t>：</w:t>
      </w:r>
      <w:r>
        <w:rPr>
          <w:rFonts w:hint="eastAsia"/>
          <w:color w:val="auto"/>
          <w:sz w:val="24"/>
        </w:rPr>
        <w:t>第一部分</w:t>
      </w:r>
      <w:r>
        <w:rPr>
          <w:rFonts w:hint="eastAsia"/>
          <w:color w:val="auto"/>
          <w:sz w:val="24"/>
          <w:lang w:eastAsia="zh-CN"/>
        </w:rPr>
        <w:t>“</w:t>
      </w:r>
      <w:r>
        <w:rPr>
          <w:rFonts w:hint="eastAsia"/>
          <w:color w:val="auto"/>
          <w:sz w:val="24"/>
        </w:rPr>
        <w:t>时事政治</w:t>
      </w:r>
      <w:r>
        <w:rPr>
          <w:rFonts w:hint="eastAsia"/>
          <w:color w:val="auto"/>
          <w:sz w:val="24"/>
          <w:lang w:eastAsia="zh-CN"/>
        </w:rPr>
        <w:t>”</w:t>
      </w:r>
      <w:r>
        <w:rPr>
          <w:rFonts w:hint="eastAsia" w:ascii="宋体" w:hAnsi="宋体"/>
          <w:color w:val="auto"/>
          <w:sz w:val="24"/>
        </w:rPr>
        <w:t>满分为</w:t>
      </w:r>
      <w:r>
        <w:rPr>
          <w:rFonts w:hint="eastAsia" w:ascii="宋体" w:hAnsi="宋体"/>
          <w:color w:val="auto"/>
          <w:sz w:val="24"/>
          <w:lang w:val="en-US" w:eastAsia="zh-CN"/>
        </w:rPr>
        <w:t>50</w:t>
      </w:r>
      <w:r>
        <w:rPr>
          <w:rFonts w:hint="eastAsia" w:ascii="宋体" w:hAnsi="宋体"/>
          <w:color w:val="auto"/>
          <w:sz w:val="24"/>
        </w:rPr>
        <w:t>分</w:t>
      </w:r>
      <w:r>
        <w:rPr>
          <w:rFonts w:hint="eastAsia"/>
          <w:color w:val="auto"/>
          <w:sz w:val="24"/>
        </w:rPr>
        <w:t>、第二部分</w:t>
      </w:r>
      <w:r>
        <w:rPr>
          <w:rFonts w:hint="eastAsia"/>
          <w:color w:val="auto"/>
          <w:sz w:val="24"/>
          <w:lang w:eastAsia="zh-CN"/>
        </w:rPr>
        <w:t>“</w:t>
      </w:r>
      <w:r>
        <w:rPr>
          <w:rFonts w:hint="eastAsia"/>
          <w:color w:val="auto"/>
          <w:sz w:val="24"/>
          <w:lang w:val="en-US" w:eastAsia="zh-CN"/>
        </w:rPr>
        <w:t>文学常识</w:t>
      </w:r>
      <w:r>
        <w:rPr>
          <w:rFonts w:hint="eastAsia"/>
          <w:color w:val="auto"/>
          <w:sz w:val="24"/>
          <w:lang w:eastAsia="zh-CN"/>
        </w:rPr>
        <w:t>”</w:t>
      </w:r>
      <w:r>
        <w:rPr>
          <w:rFonts w:hint="eastAsia" w:ascii="宋体" w:hAnsi="宋体"/>
          <w:color w:val="auto"/>
          <w:sz w:val="24"/>
        </w:rPr>
        <w:t>满分为</w:t>
      </w:r>
      <w:r>
        <w:rPr>
          <w:rFonts w:hint="eastAsia" w:ascii="宋体" w:hAnsi="宋体"/>
          <w:color w:val="auto"/>
          <w:sz w:val="24"/>
          <w:lang w:val="en-US" w:eastAsia="zh-CN"/>
        </w:rPr>
        <w:t>50</w:t>
      </w:r>
      <w:r>
        <w:rPr>
          <w:rFonts w:hint="eastAsia" w:ascii="宋体" w:hAnsi="宋体"/>
          <w:color w:val="auto"/>
          <w:sz w:val="24"/>
        </w:rPr>
        <w:t>分。</w:t>
      </w:r>
    </w:p>
    <w:p>
      <w:pPr>
        <w:jc w:val="center"/>
        <w:rPr>
          <w:b/>
          <w:bCs/>
          <w:color w:val="auto"/>
          <w:sz w:val="32"/>
          <w:szCs w:val="32"/>
        </w:rPr>
      </w:pPr>
    </w:p>
    <w:p>
      <w:pPr>
        <w:jc w:val="center"/>
        <w:rPr>
          <w:rFonts w:hint="eastAsia"/>
          <w:b/>
          <w:bCs/>
          <w:color w:val="auto"/>
          <w:sz w:val="28"/>
          <w:szCs w:val="36"/>
        </w:rPr>
      </w:pPr>
      <w:r>
        <w:rPr>
          <w:rFonts w:hint="eastAsia"/>
          <w:b/>
          <w:bCs/>
          <w:color w:val="auto"/>
          <w:sz w:val="28"/>
          <w:szCs w:val="36"/>
          <w:lang w:val="en-US" w:eastAsia="zh-CN"/>
        </w:rPr>
        <w:t xml:space="preserve">第一部分 </w:t>
      </w:r>
      <w:r>
        <w:rPr>
          <w:rFonts w:hint="eastAsia"/>
          <w:b/>
          <w:bCs/>
          <w:color w:val="auto"/>
          <w:sz w:val="28"/>
          <w:szCs w:val="36"/>
        </w:rPr>
        <w:t>时事政治</w:t>
      </w:r>
    </w:p>
    <w:p>
      <w:pPr>
        <w:widowControl/>
        <w:shd w:val="clear" w:color="auto" w:fill="FFFFFF"/>
        <w:spacing w:line="360" w:lineRule="auto"/>
        <w:ind w:firstLine="482" w:firstLineChars="200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一、考试目的与要求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“时事政治”重点考察学生对过去一年党和国家重大事件的了解，要求考生具有基本的政治素养和基础知识。</w:t>
      </w:r>
    </w:p>
    <w:p>
      <w:pPr>
        <w:widowControl/>
        <w:shd w:val="clear" w:color="auto" w:fill="FFFFFF"/>
        <w:spacing w:line="360" w:lineRule="auto"/>
        <w:ind w:firstLine="482" w:firstLineChars="200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二、考试内容及要求</w:t>
      </w:r>
    </w:p>
    <w:p>
      <w:pPr>
        <w:widowControl/>
        <w:shd w:val="clear" w:color="auto" w:fill="FFFFFF"/>
        <w:spacing w:line="360" w:lineRule="auto"/>
        <w:ind w:firstLine="482" w:firstLineChars="200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(一)习近平在庆祝中国共产主义青年团成立100周年大会上的讲话精神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1.共青团的初心使命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2.共青团在党和人民百年事业中奋斗的历史经验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3.给共青团提出的4点希望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4.共青团在实现中华民族伟大复兴征程上的重要地位</w:t>
      </w:r>
    </w:p>
    <w:p>
      <w:pPr>
        <w:widowControl/>
        <w:shd w:val="clear" w:color="auto" w:fill="FFFFFF"/>
        <w:spacing w:line="360" w:lineRule="auto"/>
        <w:ind w:firstLine="482" w:firstLineChars="200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(二)党的二十大精神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1.过去五年的工作和新时代十年的伟大变革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2.开辟马克思主义中国化时代化新境界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3.新时代新征程中国共产党的使命任务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4.中国式现代化的中国特色和本质要求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5.社会主义经济建设、政治建设、文化建设、社会建设、生态文明建设等方面的重大部署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6.教育科技人才、法治建设、国家安全等方面的重大部署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7.</w:t>
      </w:r>
      <w:r>
        <w:rPr>
          <w:rFonts w:hint="eastAsia" w:ascii="宋体" w:hAnsi="宋体"/>
          <w:sz w:val="24"/>
          <w:szCs w:val="24"/>
        </w:rPr>
        <w:tab/>
      </w:r>
      <w:r>
        <w:rPr>
          <w:rFonts w:hint="eastAsia" w:ascii="宋体" w:hAnsi="宋体"/>
          <w:sz w:val="24"/>
          <w:szCs w:val="24"/>
        </w:rPr>
        <w:t>国防军队建设、港澳台工作、外交工作等方面的重大部署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8.</w:t>
      </w:r>
      <w:r>
        <w:rPr>
          <w:rFonts w:hint="eastAsia" w:ascii="宋体" w:hAnsi="宋体"/>
          <w:sz w:val="24"/>
          <w:szCs w:val="24"/>
        </w:rPr>
        <w:tab/>
      </w:r>
      <w:r>
        <w:rPr>
          <w:rFonts w:hint="eastAsia" w:ascii="宋体" w:hAnsi="宋体"/>
          <w:sz w:val="24"/>
          <w:szCs w:val="24"/>
        </w:rPr>
        <w:t>党的全面领导和全面从严治党的重大部署</w:t>
      </w:r>
    </w:p>
    <w:p>
      <w:pPr>
        <w:widowControl/>
        <w:shd w:val="clear" w:color="auto" w:fill="FFFFFF"/>
        <w:spacing w:line="360" w:lineRule="auto"/>
        <w:ind w:firstLine="482" w:firstLineChars="200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 xml:space="preserve"> (三)习近平在党的二十届一中全会上的讲话精神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1.全面推进新时代中国特色社会主义伟大事业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</w:t>
      </w:r>
      <w:r>
        <w:rPr>
          <w:rFonts w:hint="eastAsia" w:ascii="宋体" w:hAnsi="宋体"/>
          <w:sz w:val="24"/>
          <w:szCs w:val="24"/>
        </w:rPr>
        <w:tab/>
      </w:r>
      <w:r>
        <w:rPr>
          <w:rFonts w:hint="eastAsia" w:ascii="宋体" w:hAnsi="宋体"/>
          <w:sz w:val="24"/>
          <w:szCs w:val="24"/>
        </w:rPr>
        <w:t>全面贯彻党的二十大精神工作部署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</w:t>
      </w:r>
      <w:r>
        <w:rPr>
          <w:rFonts w:hint="eastAsia" w:ascii="宋体" w:hAnsi="宋体"/>
          <w:sz w:val="24"/>
          <w:szCs w:val="24"/>
        </w:rPr>
        <w:tab/>
      </w:r>
      <w:r>
        <w:rPr>
          <w:rFonts w:hint="eastAsia" w:ascii="宋体" w:hAnsi="宋体"/>
          <w:sz w:val="24"/>
          <w:szCs w:val="24"/>
        </w:rPr>
        <w:t>中国共产党的第二个百年奋斗目标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4</w:t>
      </w:r>
      <w:r>
        <w:rPr>
          <w:rFonts w:hint="eastAsia" w:ascii="宋体" w:hAnsi="宋体"/>
          <w:sz w:val="24"/>
          <w:szCs w:val="24"/>
        </w:rPr>
        <w:t>.给党员干部的几点要求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5</w:t>
      </w:r>
      <w:r>
        <w:rPr>
          <w:rFonts w:hint="eastAsia" w:ascii="宋体" w:hAnsi="宋体"/>
          <w:sz w:val="24"/>
          <w:szCs w:val="24"/>
        </w:rPr>
        <w:t>.坚定不移推进全面从严治党</w:t>
      </w:r>
    </w:p>
    <w:p>
      <w:pPr>
        <w:widowControl/>
        <w:shd w:val="clear" w:color="auto" w:fill="FFFFFF"/>
        <w:spacing w:line="360" w:lineRule="auto"/>
        <w:ind w:firstLine="482" w:firstLineChars="200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(四)中央经济工作会议精神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1.坚持高质量发展，完整、准确、全面贯彻新发展理念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2.高质量发展中保障财政可持续和地方政府债务风险可控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3.落实落细就业优先政策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4.完善生育支持政策体系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5.统筹疫情防控和经济社会发展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6.把恢复和扩大消费摆在优先位置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7.“两个毫不动摇”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8.推进高水平对外开放，提升贸易投资合作质量和水平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9.确保房地产市场平稳发展</w:t>
      </w:r>
    </w:p>
    <w:p>
      <w:pPr>
        <w:widowControl/>
        <w:shd w:val="clear" w:color="auto" w:fill="FFFFFF"/>
        <w:spacing w:line="360" w:lineRule="auto"/>
        <w:ind w:firstLine="482" w:firstLineChars="200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(五)中央一号文件：中共中央国务院关于做好2023年全面推进乡村振兴重点工作的意见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1.抓紧抓好粮食和重要农产品稳产保供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2.加强农业基础设施建设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3.强化农业科技和装备支撑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4.巩固拓展脱贫攻坚成果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5.推动乡村产业高质量发展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6.拓宽农民增收致富渠道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7.扎实推进宜居宜业和美乡村建设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8.健全党组织领导的乡村治理体系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9.强化政策保障和体制机制创新</w:t>
      </w:r>
    </w:p>
    <w:p>
      <w:pPr>
        <w:widowControl/>
        <w:shd w:val="clear" w:color="auto" w:fill="FFFFFF"/>
        <w:spacing w:line="360" w:lineRule="auto"/>
        <w:ind w:firstLine="482" w:firstLineChars="200"/>
        <w:rPr>
          <w:rFonts w:hint="eastAsia" w:ascii="宋体" w:hAnsi="宋体"/>
          <w:b/>
          <w:color w:val="auto"/>
          <w:sz w:val="24"/>
          <w:szCs w:val="24"/>
        </w:rPr>
      </w:pPr>
      <w:r>
        <w:rPr>
          <w:rFonts w:hint="eastAsia" w:ascii="宋体" w:hAnsi="宋体"/>
          <w:b/>
          <w:color w:val="auto"/>
          <w:sz w:val="24"/>
          <w:szCs w:val="24"/>
        </w:rPr>
        <w:t>三、考试题型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单项选择题（每题</w:t>
      </w:r>
      <w:r>
        <w:rPr>
          <w:rFonts w:hint="eastAsia" w:ascii="宋体" w:hAnsi="宋体"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sz w:val="24"/>
          <w:szCs w:val="24"/>
        </w:rPr>
        <w:t>分，共</w:t>
      </w:r>
      <w:r>
        <w:rPr>
          <w:rFonts w:hint="eastAsia" w:ascii="宋体" w:hAnsi="宋体"/>
          <w:sz w:val="24"/>
          <w:szCs w:val="24"/>
          <w:lang w:val="en-US" w:eastAsia="zh-CN"/>
        </w:rPr>
        <w:t>25</w:t>
      </w:r>
      <w:r>
        <w:rPr>
          <w:rFonts w:hint="eastAsia" w:ascii="宋体" w:hAnsi="宋体"/>
          <w:sz w:val="24"/>
          <w:szCs w:val="24"/>
        </w:rPr>
        <w:t>小题，共计50分）</w:t>
      </w:r>
    </w:p>
    <w:p>
      <w:pPr>
        <w:widowControl/>
        <w:shd w:val="clear" w:color="auto" w:fill="FFFFFF"/>
        <w:spacing w:line="360" w:lineRule="auto"/>
        <w:ind w:firstLine="482" w:firstLineChars="200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四、考试参考教材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时事政治部分考试无指定教材，可参考以下资料: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1.《在庆祝中国共产主义青年团成立100周年大会上的讲话》(习近平，2022年5月10日)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2.《高举中国特色社会主义伟大旗帜，为全面建设社会主义现代化国家而团结奋斗——在中国共产党第二十次全国代表大会上的报告》(习近平，2022年10月16日）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3.《在党的二十届一中全会上的讲话》(习近平，2022年10月23日)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4.《在中央经济会议上的讲话》(习近平，2022年12月15日)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firstLine="480" w:firstLineChars="200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5.《2023年中央一号文件（全文）》(2023年2月14日)</w:t>
      </w:r>
    </w:p>
    <w:p>
      <w:pPr>
        <w:jc w:val="center"/>
        <w:rPr>
          <w:b/>
          <w:bCs/>
          <w:color w:val="auto"/>
          <w:sz w:val="32"/>
          <w:szCs w:val="32"/>
        </w:rPr>
      </w:pPr>
    </w:p>
    <w:p>
      <w:pPr>
        <w:jc w:val="center"/>
        <w:rPr>
          <w:b/>
          <w:bCs/>
          <w:color w:val="auto"/>
          <w:sz w:val="28"/>
          <w:szCs w:val="36"/>
        </w:rPr>
      </w:pPr>
    </w:p>
    <w:p>
      <w:pPr>
        <w:jc w:val="center"/>
        <w:rPr>
          <w:b/>
          <w:bCs/>
          <w:color w:val="auto"/>
          <w:sz w:val="28"/>
          <w:szCs w:val="36"/>
        </w:rPr>
      </w:pPr>
    </w:p>
    <w:p>
      <w:pPr>
        <w:rPr>
          <w:b/>
          <w:bCs/>
          <w:color w:val="auto"/>
          <w:sz w:val="28"/>
          <w:szCs w:val="36"/>
        </w:rPr>
      </w:pPr>
      <w:r>
        <w:rPr>
          <w:b/>
          <w:bCs/>
          <w:color w:val="auto"/>
          <w:sz w:val="28"/>
          <w:szCs w:val="36"/>
        </w:rPr>
        <w:br w:type="page"/>
      </w:r>
    </w:p>
    <w:p>
      <w:pPr>
        <w:jc w:val="center"/>
        <w:rPr>
          <w:rFonts w:hint="default" w:eastAsiaTheme="minorEastAsia"/>
          <w:b/>
          <w:bCs/>
          <w:color w:val="auto"/>
          <w:sz w:val="28"/>
          <w:szCs w:val="36"/>
          <w:lang w:val="en-US" w:eastAsia="zh-CN"/>
        </w:rPr>
      </w:pPr>
      <w:r>
        <w:rPr>
          <w:rFonts w:hint="eastAsia"/>
          <w:b/>
          <w:bCs/>
          <w:color w:val="auto"/>
          <w:sz w:val="28"/>
          <w:szCs w:val="36"/>
        </w:rPr>
        <w:t xml:space="preserve">第二部分 </w:t>
      </w:r>
      <w:r>
        <w:rPr>
          <w:rFonts w:hint="eastAsia"/>
          <w:b/>
          <w:bCs/>
          <w:color w:val="auto"/>
          <w:sz w:val="28"/>
          <w:szCs w:val="36"/>
          <w:lang w:val="en-US" w:eastAsia="zh-CN"/>
        </w:rPr>
        <w:t>文学常识</w:t>
      </w:r>
    </w:p>
    <w:p>
      <w:pPr>
        <w:widowControl/>
        <w:shd w:val="clear" w:color="auto" w:fill="FFFFFF"/>
        <w:spacing w:line="360" w:lineRule="auto"/>
        <w:ind w:firstLine="482" w:firstLineChars="200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一、考试目的与要求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通过该课程，要求考生能掌握基本文学常识，能鉴赏古今作品的形象、语言，能运用不同实用文书完成工作生活情境中的写作任务。</w:t>
      </w:r>
    </w:p>
    <w:p>
      <w:pPr>
        <w:widowControl/>
        <w:shd w:val="clear" w:color="auto" w:fill="FFFFFF"/>
        <w:spacing w:line="360" w:lineRule="auto"/>
        <w:ind w:firstLine="482" w:firstLineChars="200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二、考试内容及要求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考试内容包括文学常识和实用写作两部分。文学常识要求熟知经典篇目的作家、作品及体裁，能识记经典诗句，鉴赏作品的形象、语言及表现手法。掌握实用文书的写作要求和基本表达方式。</w:t>
      </w:r>
    </w:p>
    <w:p>
      <w:pPr>
        <w:widowControl/>
        <w:shd w:val="clear" w:color="auto" w:fill="FFFFFF"/>
        <w:spacing w:line="360" w:lineRule="auto"/>
        <w:ind w:firstLine="482" w:firstLineChars="200"/>
        <w:rPr>
          <w:rStyle w:val="13"/>
          <w:rFonts w:hint="eastAsia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二、考试题型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单项选择题（每题</w:t>
      </w:r>
      <w:r>
        <w:rPr>
          <w:rFonts w:hint="eastAsia" w:ascii="宋体" w:hAnsi="宋体"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sz w:val="24"/>
          <w:szCs w:val="24"/>
        </w:rPr>
        <w:t>分，共</w:t>
      </w:r>
      <w:r>
        <w:rPr>
          <w:rFonts w:hint="eastAsia" w:ascii="宋体" w:hAnsi="宋体"/>
          <w:sz w:val="24"/>
          <w:szCs w:val="24"/>
          <w:lang w:val="en-US" w:eastAsia="zh-CN"/>
        </w:rPr>
        <w:t>25</w:t>
      </w:r>
      <w:r>
        <w:rPr>
          <w:rFonts w:hint="eastAsia" w:ascii="宋体" w:hAnsi="宋体"/>
          <w:sz w:val="24"/>
          <w:szCs w:val="24"/>
        </w:rPr>
        <w:t>小题，共计50分）</w:t>
      </w:r>
    </w:p>
    <w:p>
      <w:pPr>
        <w:widowControl/>
        <w:shd w:val="clear" w:color="auto" w:fill="FFFFFF"/>
        <w:spacing w:line="360" w:lineRule="auto"/>
        <w:ind w:firstLine="482" w:firstLineChars="200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四、考试参考教材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>《大学语文与实用写作》（第2版），作者：吴满珍，出版社：清华大学出版社，出版时间：2020年8月</w:t>
      </w:r>
      <w:bookmarkStart w:id="0" w:name="_GoBack"/>
      <w:bookmarkEnd w:id="0"/>
    </w:p>
    <w:p>
      <w:pPr>
        <w:widowControl/>
        <w:shd w:val="clear" w:color="auto" w:fill="FFFFFF"/>
        <w:spacing w:line="360" w:lineRule="auto"/>
        <w:ind w:firstLine="482" w:firstLineChars="200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推荐篇目（文学常识）：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1.采薇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2.《论语》（六则）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3.人皆有不忍人之心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4.国殇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5.垓下之围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6.山居秋暝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7.登高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8.长恨歌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9.定风波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10.渔家傲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11.抄检大观园（节选）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12.伤逝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13.雨巷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14.七子之歌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15.受戒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16.论美</w:t>
      </w:r>
    </w:p>
    <w:p>
      <w:pPr>
        <w:widowControl/>
        <w:shd w:val="clear" w:color="auto" w:fill="FFFFFF"/>
        <w:spacing w:line="360" w:lineRule="auto"/>
        <w:ind w:firstLine="482" w:firstLineChars="200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（实用写作）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1.求职信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2.计划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3.市场调查报告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4.总结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5.演讲稿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6.毕业论文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eastAsia="宋体" w:cs="宋体"/>
          <w:b/>
          <w:color w:val="auto"/>
          <w:sz w:val="24"/>
        </w:rPr>
      </w:pPr>
      <w:r>
        <w:rPr>
          <w:rFonts w:hint="eastAsia" w:ascii="宋体" w:hAnsi="宋体"/>
          <w:sz w:val="24"/>
          <w:szCs w:val="24"/>
        </w:rPr>
        <w:t>7.网络新闻</w:t>
      </w:r>
    </w:p>
    <w:p>
      <w:pPr>
        <w:spacing w:line="480" w:lineRule="exact"/>
        <w:ind w:firstLine="482" w:firstLineChars="200"/>
        <w:jc w:val="left"/>
        <w:rPr>
          <w:rFonts w:ascii="宋体" w:hAnsi="宋体"/>
          <w:b/>
          <w:color w:val="auto"/>
          <w:sz w:val="24"/>
        </w:rPr>
      </w:pPr>
      <w:r>
        <w:rPr>
          <w:rFonts w:hint="eastAsia" w:ascii="宋体" w:hAnsi="宋体"/>
          <w:b/>
          <w:color w:val="auto"/>
          <w:sz w:val="24"/>
        </w:rPr>
        <w:t xml:space="preserve"> </w:t>
      </w:r>
    </w:p>
    <w:p>
      <w:pPr>
        <w:jc w:val="center"/>
        <w:rPr>
          <w:color w:val="auto"/>
          <w:sz w:val="28"/>
          <w:szCs w:val="36"/>
        </w:rPr>
      </w:pPr>
    </w:p>
    <w:p>
      <w:pPr>
        <w:jc w:val="center"/>
        <w:rPr>
          <w:color w:val="auto"/>
          <w:sz w:val="28"/>
          <w:szCs w:val="36"/>
        </w:rPr>
      </w:pPr>
    </w:p>
    <w:p>
      <w:pPr>
        <w:jc w:val="center"/>
        <w:rPr>
          <w:color w:val="auto"/>
          <w:sz w:val="28"/>
          <w:szCs w:val="36"/>
        </w:rPr>
      </w:pPr>
    </w:p>
    <w:p>
      <w:pPr>
        <w:jc w:val="center"/>
        <w:rPr>
          <w:color w:val="auto"/>
          <w:sz w:val="28"/>
          <w:szCs w:val="36"/>
        </w:rPr>
      </w:pPr>
    </w:p>
    <w:p>
      <w:pPr>
        <w:jc w:val="center"/>
        <w:rPr>
          <w:color w:val="auto"/>
          <w:sz w:val="28"/>
          <w:szCs w:val="36"/>
        </w:rPr>
      </w:pPr>
    </w:p>
    <w:p>
      <w:pPr>
        <w:jc w:val="center"/>
        <w:rPr>
          <w:color w:val="auto"/>
          <w:sz w:val="28"/>
          <w:szCs w:val="36"/>
        </w:rPr>
      </w:pPr>
    </w:p>
    <w:p>
      <w:pPr>
        <w:jc w:val="center"/>
        <w:rPr>
          <w:color w:val="auto"/>
          <w:sz w:val="28"/>
          <w:szCs w:val="36"/>
        </w:rPr>
      </w:pPr>
    </w:p>
    <w:p>
      <w:pPr>
        <w:jc w:val="center"/>
        <w:rPr>
          <w:color w:val="auto"/>
          <w:sz w:val="28"/>
          <w:szCs w:val="36"/>
        </w:rPr>
      </w:pPr>
    </w:p>
    <w:p>
      <w:pPr>
        <w:jc w:val="center"/>
        <w:rPr>
          <w:color w:val="auto"/>
          <w:sz w:val="28"/>
          <w:szCs w:val="36"/>
        </w:rPr>
      </w:pPr>
    </w:p>
    <w:p>
      <w:pPr>
        <w:jc w:val="center"/>
        <w:rPr>
          <w:color w:val="auto"/>
          <w:sz w:val="28"/>
          <w:szCs w:val="36"/>
        </w:rPr>
      </w:pPr>
    </w:p>
    <w:p>
      <w:pPr>
        <w:jc w:val="center"/>
        <w:rPr>
          <w:color w:val="auto"/>
          <w:sz w:val="28"/>
          <w:szCs w:val="36"/>
        </w:rPr>
      </w:pPr>
    </w:p>
    <w:p>
      <w:pPr>
        <w:rPr>
          <w:color w:val="auto"/>
          <w:sz w:val="28"/>
          <w:szCs w:val="36"/>
        </w:rPr>
      </w:pPr>
    </w:p>
    <w:p>
      <w:pPr>
        <w:rPr>
          <w:color w:val="auto"/>
          <w:sz w:val="28"/>
          <w:szCs w:val="36"/>
        </w:rPr>
      </w:pPr>
    </w:p>
    <w:p>
      <w:pPr>
        <w:rPr>
          <w:color w:val="auto"/>
          <w:sz w:val="28"/>
          <w:szCs w:val="36"/>
        </w:rPr>
      </w:pPr>
    </w:p>
    <w:p>
      <w:pPr>
        <w:jc w:val="center"/>
        <w:rPr>
          <w:b/>
          <w:bCs/>
          <w:color w:val="auto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mOGQ5ODZiM2E4Yjk5NzQzMWEzODJlMzExYjI1M2UifQ=="/>
  </w:docVars>
  <w:rsids>
    <w:rsidRoot w:val="05F669F6"/>
    <w:rsid w:val="0003189F"/>
    <w:rsid w:val="000346E1"/>
    <w:rsid w:val="000F6187"/>
    <w:rsid w:val="001018A3"/>
    <w:rsid w:val="00103AE6"/>
    <w:rsid w:val="00133C36"/>
    <w:rsid w:val="001C57D6"/>
    <w:rsid w:val="001E5B0C"/>
    <w:rsid w:val="002526E6"/>
    <w:rsid w:val="002E2D3A"/>
    <w:rsid w:val="002F5AAD"/>
    <w:rsid w:val="00300D7E"/>
    <w:rsid w:val="00341563"/>
    <w:rsid w:val="00403123"/>
    <w:rsid w:val="00520703"/>
    <w:rsid w:val="005E3297"/>
    <w:rsid w:val="005E76A1"/>
    <w:rsid w:val="006079ED"/>
    <w:rsid w:val="006432A2"/>
    <w:rsid w:val="00750FF2"/>
    <w:rsid w:val="007648BF"/>
    <w:rsid w:val="007659CA"/>
    <w:rsid w:val="008E7BEA"/>
    <w:rsid w:val="008F084D"/>
    <w:rsid w:val="009163A0"/>
    <w:rsid w:val="00954295"/>
    <w:rsid w:val="009E3189"/>
    <w:rsid w:val="00A92C79"/>
    <w:rsid w:val="00AB5759"/>
    <w:rsid w:val="00AE34F4"/>
    <w:rsid w:val="00B93035"/>
    <w:rsid w:val="00BB6C29"/>
    <w:rsid w:val="00C43780"/>
    <w:rsid w:val="00CA7AA6"/>
    <w:rsid w:val="00DD4023"/>
    <w:rsid w:val="00E761E1"/>
    <w:rsid w:val="00E91489"/>
    <w:rsid w:val="00F832A4"/>
    <w:rsid w:val="05F669F6"/>
    <w:rsid w:val="0CE33830"/>
    <w:rsid w:val="18452E2D"/>
    <w:rsid w:val="1D6B55F9"/>
    <w:rsid w:val="265A2AC8"/>
    <w:rsid w:val="27FB6C3E"/>
    <w:rsid w:val="30E05649"/>
    <w:rsid w:val="314B01E1"/>
    <w:rsid w:val="383438BF"/>
    <w:rsid w:val="38FE0E71"/>
    <w:rsid w:val="484F4170"/>
    <w:rsid w:val="485C2A0E"/>
    <w:rsid w:val="54297322"/>
    <w:rsid w:val="5CF70573"/>
    <w:rsid w:val="5DDA2DB9"/>
    <w:rsid w:val="60496356"/>
    <w:rsid w:val="64141282"/>
    <w:rsid w:val="66F17D3C"/>
    <w:rsid w:val="6C0B5D8A"/>
    <w:rsid w:val="6F3F53E4"/>
    <w:rsid w:val="74B6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qFormat/>
    <w:uiPriority w:val="0"/>
    <w:pPr>
      <w:jc w:val="left"/>
    </w:pPr>
  </w:style>
  <w:style w:type="paragraph" w:styleId="3">
    <w:name w:val="Balloon Text"/>
    <w:basedOn w:val="1"/>
    <w:link w:val="18"/>
    <w:qFormat/>
    <w:uiPriority w:val="0"/>
    <w:rPr>
      <w:sz w:val="18"/>
      <w:szCs w:val="18"/>
    </w:rPr>
  </w:style>
  <w:style w:type="paragraph" w:styleId="4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7">
    <w:name w:val="annotation subject"/>
    <w:basedOn w:val="2"/>
    <w:next w:val="2"/>
    <w:link w:val="17"/>
    <w:qFormat/>
    <w:uiPriority w:val="0"/>
    <w:rPr>
      <w:b/>
      <w:bCs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styleId="11">
    <w:name w:val="annotation reference"/>
    <w:basedOn w:val="9"/>
    <w:qFormat/>
    <w:uiPriority w:val="0"/>
    <w:rPr>
      <w:sz w:val="21"/>
      <w:szCs w:val="21"/>
    </w:rPr>
  </w:style>
  <w:style w:type="character" w:customStyle="1" w:styleId="12">
    <w:name w:val="_Style 2"/>
    <w:qFormat/>
    <w:uiPriority w:val="19"/>
    <w:rPr>
      <w:i/>
      <w:iCs/>
      <w:color w:val="808080"/>
    </w:rPr>
  </w:style>
  <w:style w:type="character" w:customStyle="1" w:styleId="13">
    <w:name w:val="_Style 1"/>
    <w:qFormat/>
    <w:uiPriority w:val="19"/>
    <w:rPr>
      <w:i/>
      <w:iCs/>
      <w:color w:val="808080"/>
    </w:rPr>
  </w:style>
  <w:style w:type="character" w:customStyle="1" w:styleId="14">
    <w:name w:val="页眉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批注文字 Char"/>
    <w:basedOn w:val="9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7">
    <w:name w:val="批注主题 Char"/>
    <w:basedOn w:val="16"/>
    <w:link w:val="7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character" w:customStyle="1" w:styleId="18">
    <w:name w:val="批注框文本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武汉商学院</Company>
  <Pages>5</Pages>
  <Words>1502</Words>
  <Characters>1621</Characters>
  <Lines>15</Lines>
  <Paragraphs>4</Paragraphs>
  <TotalTime>0</TotalTime>
  <ScaleCrop>false</ScaleCrop>
  <LinksUpToDate>false</LinksUpToDate>
  <CharactersWithSpaces>1629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2022-03-22T06:33:00Z</dcterms:created>
  <dc:creator>范欢峰</dc:creator>
  <cp:lastModifiedBy>☔</cp:lastModifiedBy>
  <cp:lastPrinted>2023-03-01T00:15:00Z</cp:lastPrinted>
  <dcterms:modified xsi:type="dcterms:W3CDTF">2023-03-21T06:46:45Z</dcterms:modified>
  <cp:revision>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328A0398AEA74177B5876C5E505B4CD2</vt:lpwstr>
  </property>
</Properties>
</file>