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FA" w:rsidRPr="000902FA" w:rsidRDefault="006729A0" w:rsidP="000902FA">
      <w:pPr>
        <w:pStyle w:val="1"/>
        <w:spacing w:before="100" w:beforeAutospacing="1" w:after="100" w:afterAutospacing="1" w:line="360" w:lineRule="auto"/>
        <w:rPr>
          <w:rFonts w:ascii="宋体" w:eastAsia="宋体" w:hAnsi="宋体"/>
          <w:sz w:val="21"/>
          <w:szCs w:val="21"/>
        </w:rPr>
      </w:pPr>
      <w:bookmarkStart w:id="0" w:name="_Toc78374588"/>
      <w:r w:rsidRPr="000902FA">
        <w:rPr>
          <w:rFonts w:ascii="宋体" w:eastAsia="宋体" w:hAnsi="宋体" w:hint="eastAsia"/>
          <w:sz w:val="21"/>
          <w:szCs w:val="21"/>
        </w:rPr>
        <w:t>附件：</w:t>
      </w:r>
    </w:p>
    <w:p w:rsidR="000E18F6" w:rsidRPr="000902FA" w:rsidRDefault="006729A0" w:rsidP="00B64B87">
      <w:pPr>
        <w:pStyle w:val="1"/>
        <w:spacing w:before="100" w:beforeAutospacing="1" w:after="100" w:afterAutospacing="1" w:line="360" w:lineRule="auto"/>
        <w:jc w:val="center"/>
        <w:rPr>
          <w:rFonts w:ascii="宋体" w:eastAsia="宋体" w:hAnsi="宋体"/>
          <w:sz w:val="32"/>
          <w:szCs w:val="32"/>
        </w:rPr>
      </w:pPr>
      <w:r w:rsidRPr="000902FA">
        <w:rPr>
          <w:rFonts w:ascii="宋体" w:eastAsia="宋体" w:hAnsi="宋体" w:hint="eastAsia"/>
          <w:sz w:val="32"/>
          <w:szCs w:val="32"/>
        </w:rPr>
        <w:t>评审规则</w:t>
      </w:r>
      <w:bookmarkEnd w:id="0"/>
    </w:p>
    <w:p w:rsidR="000E18F6" w:rsidRPr="000902FA" w:rsidRDefault="006729A0" w:rsidP="000902FA">
      <w:pPr>
        <w:pStyle w:val="a3"/>
        <w:snapToGrid w:val="0"/>
        <w:spacing w:line="360" w:lineRule="auto"/>
        <w:ind w:firstLineChars="196" w:firstLine="470"/>
        <w:rPr>
          <w:rFonts w:ascii="宋体" w:hAnsi="宋体" w:cstheme="minorEastAsia"/>
          <w:bCs/>
          <w:sz w:val="24"/>
          <w:szCs w:val="24"/>
        </w:rPr>
      </w:pPr>
      <w:r w:rsidRPr="000902FA">
        <w:rPr>
          <w:rFonts w:ascii="宋体" w:hAnsi="宋体" w:cstheme="minorEastAsia" w:hint="eastAsia"/>
          <w:bCs/>
          <w:sz w:val="24"/>
          <w:szCs w:val="24"/>
        </w:rPr>
        <w:t>根据《中华人民共和国政府采购法》、《中华人民共和国政府采购法实施条例》、《政府采购货物和服务招标投标管理办法》（财政部令第87号）等有关法律、法规和规章的规定，确定以下评标方法、步骤及标准。</w:t>
      </w:r>
    </w:p>
    <w:p w:rsidR="000E18F6" w:rsidRPr="000902FA" w:rsidRDefault="006729A0" w:rsidP="000902FA">
      <w:pPr>
        <w:pStyle w:val="2"/>
        <w:rPr>
          <w:sz w:val="24"/>
          <w:szCs w:val="24"/>
        </w:rPr>
      </w:pPr>
      <w:bookmarkStart w:id="1" w:name="_Toc78374589"/>
      <w:bookmarkStart w:id="2" w:name="_Toc60259357"/>
      <w:bookmarkStart w:id="3" w:name="_Toc31947_WPSOffice_Level2"/>
      <w:r w:rsidRPr="000902FA">
        <w:rPr>
          <w:rFonts w:hint="eastAsia"/>
          <w:sz w:val="24"/>
          <w:szCs w:val="24"/>
        </w:rPr>
        <w:t>一、评标方法</w:t>
      </w:r>
      <w:bookmarkEnd w:id="1"/>
      <w:bookmarkEnd w:id="2"/>
      <w:bookmarkEnd w:id="3"/>
    </w:p>
    <w:p w:rsidR="000E18F6" w:rsidRPr="000902FA" w:rsidRDefault="006729A0" w:rsidP="000902FA">
      <w:pPr>
        <w:pStyle w:val="a3"/>
        <w:snapToGrid w:val="0"/>
        <w:spacing w:line="360" w:lineRule="auto"/>
        <w:ind w:firstLineChars="200" w:firstLine="480"/>
        <w:rPr>
          <w:rFonts w:ascii="宋体" w:hAnsi="宋体"/>
          <w:bCs/>
          <w:sz w:val="24"/>
          <w:szCs w:val="24"/>
        </w:rPr>
      </w:pPr>
      <w:bookmarkStart w:id="4" w:name="_Toc60259358"/>
      <w:r w:rsidRPr="000902FA">
        <w:rPr>
          <w:rFonts w:ascii="宋体" w:hAnsi="宋体"/>
          <w:bCs/>
          <w:sz w:val="24"/>
          <w:szCs w:val="24"/>
        </w:rPr>
        <w:t>本次</w:t>
      </w:r>
      <w:r w:rsidRPr="000902FA">
        <w:rPr>
          <w:rFonts w:ascii="宋体" w:hAnsi="宋体" w:hint="eastAsia"/>
          <w:bCs/>
          <w:sz w:val="24"/>
          <w:szCs w:val="24"/>
        </w:rPr>
        <w:t>评审</w:t>
      </w:r>
      <w:r w:rsidRPr="000902FA">
        <w:rPr>
          <w:rFonts w:ascii="宋体" w:hAnsi="宋体"/>
          <w:bCs/>
          <w:sz w:val="24"/>
          <w:szCs w:val="24"/>
        </w:rPr>
        <w:t>采用</w:t>
      </w:r>
      <w:r w:rsidRPr="000902FA">
        <w:rPr>
          <w:rFonts w:ascii="宋体" w:hAnsi="宋体" w:hint="eastAsia"/>
          <w:bCs/>
          <w:sz w:val="24"/>
          <w:szCs w:val="24"/>
        </w:rPr>
        <w:t>综合评分法（百分制），即响应文件满足磋商文件全部实质性要求且按评审因素的量化指标评审得分最高的供应商为成交候选供应商的评审方法。</w:t>
      </w:r>
    </w:p>
    <w:p w:rsidR="000E18F6" w:rsidRPr="000902FA" w:rsidRDefault="006729A0" w:rsidP="000902FA">
      <w:pPr>
        <w:pStyle w:val="a3"/>
        <w:snapToGrid w:val="0"/>
        <w:spacing w:line="360" w:lineRule="auto"/>
        <w:ind w:firstLineChars="200" w:firstLine="480"/>
        <w:rPr>
          <w:rFonts w:ascii="宋体" w:hAnsi="宋体"/>
          <w:bCs/>
          <w:sz w:val="24"/>
          <w:szCs w:val="24"/>
        </w:rPr>
      </w:pPr>
      <w:r w:rsidRPr="000902FA">
        <w:rPr>
          <w:rFonts w:ascii="宋体" w:hAnsi="宋体" w:hint="eastAsia"/>
          <w:bCs/>
          <w:sz w:val="24"/>
          <w:szCs w:val="24"/>
        </w:rPr>
        <w:t>综合评分法中的价格分统一采用低价优先法计算，即满足磋商文件要求且最后报价最低（经过政府采购政策调整后）的供应商的价格为磋商基准价，其价格分为满分。其他供应商的价格分统一按照下列公式计算：</w:t>
      </w:r>
    </w:p>
    <w:p w:rsidR="000E18F6" w:rsidRPr="000902FA" w:rsidRDefault="006729A0" w:rsidP="000902FA">
      <w:pPr>
        <w:pStyle w:val="a3"/>
        <w:snapToGrid w:val="0"/>
        <w:spacing w:line="360" w:lineRule="auto"/>
        <w:ind w:firstLineChars="200" w:firstLine="480"/>
        <w:rPr>
          <w:rFonts w:ascii="宋体" w:hAnsi="宋体"/>
          <w:bCs/>
          <w:sz w:val="24"/>
          <w:szCs w:val="24"/>
        </w:rPr>
      </w:pPr>
      <w:r w:rsidRPr="000902FA">
        <w:rPr>
          <w:rFonts w:ascii="宋体" w:hAnsi="宋体" w:hint="eastAsia"/>
          <w:bCs/>
          <w:sz w:val="24"/>
          <w:szCs w:val="24"/>
        </w:rPr>
        <w:t>磋商报价得分=（磋商基准价/最后磋商报价）×价格权值×100</w:t>
      </w:r>
    </w:p>
    <w:p w:rsidR="000E18F6" w:rsidRPr="000902FA" w:rsidRDefault="006729A0" w:rsidP="000902FA">
      <w:pPr>
        <w:pStyle w:val="a3"/>
        <w:snapToGrid w:val="0"/>
        <w:spacing w:line="360" w:lineRule="auto"/>
        <w:ind w:firstLineChars="200" w:firstLine="480"/>
        <w:rPr>
          <w:rFonts w:ascii="宋体" w:hAnsi="宋体"/>
          <w:bCs/>
          <w:sz w:val="24"/>
          <w:szCs w:val="24"/>
        </w:rPr>
      </w:pPr>
      <w:r w:rsidRPr="000902FA">
        <w:rPr>
          <w:rFonts w:ascii="宋体" w:hAnsi="宋体" w:hint="eastAsia"/>
          <w:bCs/>
          <w:sz w:val="24"/>
          <w:szCs w:val="24"/>
        </w:rPr>
        <w:t>项目评审过程中，不得去掉最后报价中的最高报价和最低报价。本项目评分保留小数点后两位。</w:t>
      </w:r>
    </w:p>
    <w:p w:rsidR="00436F9C" w:rsidRPr="00436F9C" w:rsidRDefault="006729A0" w:rsidP="00436F9C">
      <w:pPr>
        <w:pStyle w:val="a3"/>
        <w:snapToGrid w:val="0"/>
        <w:spacing w:line="360" w:lineRule="auto"/>
        <w:ind w:firstLineChars="196" w:firstLine="470"/>
        <w:rPr>
          <w:rFonts w:ascii="宋体" w:hAnsi="宋体"/>
          <w:bCs/>
          <w:sz w:val="24"/>
          <w:szCs w:val="24"/>
        </w:rPr>
      </w:pPr>
      <w:r w:rsidRPr="000902FA">
        <w:rPr>
          <w:rFonts w:ascii="宋体" w:hAnsi="宋体" w:hint="eastAsia"/>
          <w:bCs/>
          <w:sz w:val="24"/>
          <w:szCs w:val="24"/>
        </w:rPr>
        <w:t>推荐成交候选供应商的方法：磋商小组</w:t>
      </w:r>
      <w:r w:rsidRPr="000902FA">
        <w:rPr>
          <w:rFonts w:ascii="宋体" w:hAnsi="宋体"/>
          <w:bCs/>
          <w:sz w:val="24"/>
          <w:szCs w:val="24"/>
        </w:rPr>
        <w:t>按评审后得分由高到低顺序</w:t>
      </w:r>
      <w:r w:rsidRPr="000902FA">
        <w:rPr>
          <w:rFonts w:ascii="宋体" w:hAnsi="宋体" w:hint="eastAsia"/>
          <w:bCs/>
          <w:sz w:val="24"/>
          <w:szCs w:val="24"/>
        </w:rPr>
        <w:t>进行推荐。</w:t>
      </w:r>
      <w:r w:rsidRPr="000902FA">
        <w:rPr>
          <w:rFonts w:ascii="宋体" w:hAnsi="宋体"/>
          <w:bCs/>
          <w:sz w:val="24"/>
          <w:szCs w:val="24"/>
        </w:rPr>
        <w:t>得分相同的，按</w:t>
      </w:r>
      <w:r w:rsidRPr="000902FA">
        <w:rPr>
          <w:rFonts w:ascii="宋体" w:hAnsi="宋体" w:hint="eastAsia"/>
          <w:bCs/>
          <w:sz w:val="24"/>
          <w:szCs w:val="24"/>
        </w:rPr>
        <w:t>最后</w:t>
      </w:r>
      <w:r w:rsidRPr="000902FA">
        <w:rPr>
          <w:rFonts w:ascii="宋体" w:hAnsi="宋体"/>
          <w:bCs/>
          <w:sz w:val="24"/>
          <w:szCs w:val="24"/>
        </w:rPr>
        <w:t>报价由低到高顺序排列</w:t>
      </w:r>
      <w:r w:rsidRPr="000902FA">
        <w:rPr>
          <w:rFonts w:ascii="宋体" w:hAnsi="宋体" w:hint="eastAsia"/>
          <w:bCs/>
          <w:sz w:val="24"/>
          <w:szCs w:val="24"/>
        </w:rPr>
        <w:t>；</w:t>
      </w:r>
      <w:r w:rsidRPr="000902FA">
        <w:rPr>
          <w:rFonts w:ascii="宋体" w:hAnsi="宋体"/>
          <w:bCs/>
          <w:sz w:val="24"/>
          <w:szCs w:val="24"/>
        </w:rPr>
        <w:t>得分且</w:t>
      </w:r>
      <w:r w:rsidRPr="000902FA">
        <w:rPr>
          <w:rFonts w:ascii="宋体" w:hAnsi="宋体" w:hint="eastAsia"/>
          <w:bCs/>
          <w:sz w:val="24"/>
          <w:szCs w:val="24"/>
        </w:rPr>
        <w:t>最后</w:t>
      </w:r>
      <w:r w:rsidRPr="000902FA">
        <w:rPr>
          <w:rFonts w:ascii="宋体" w:hAnsi="宋体"/>
          <w:bCs/>
          <w:sz w:val="24"/>
          <w:szCs w:val="24"/>
        </w:rPr>
        <w:t>报价相同的，按技术指标优劣顺序排列。</w:t>
      </w:r>
      <w:bookmarkStart w:id="5" w:name="_Toc78374593"/>
      <w:bookmarkStart w:id="6" w:name="_Hlk78299828"/>
      <w:bookmarkEnd w:id="4"/>
    </w:p>
    <w:p w:rsidR="00E13AE9" w:rsidRDefault="00E13AE9">
      <w:pPr>
        <w:widowControl/>
        <w:jc w:val="left"/>
        <w:rPr>
          <w:rFonts w:eastAsia="宋体"/>
          <w:b/>
          <w:sz w:val="24"/>
          <w:szCs w:val="24"/>
        </w:rPr>
      </w:pPr>
      <w:r>
        <w:rPr>
          <w:b/>
          <w:sz w:val="24"/>
          <w:szCs w:val="24"/>
        </w:rPr>
        <w:br w:type="page"/>
      </w:r>
    </w:p>
    <w:p w:rsidR="000E18F6" w:rsidRPr="00436F9C" w:rsidRDefault="00436F9C" w:rsidP="00436F9C">
      <w:pPr>
        <w:pStyle w:val="a3"/>
        <w:snapToGrid w:val="0"/>
        <w:spacing w:line="360" w:lineRule="auto"/>
        <w:ind w:firstLine="0"/>
        <w:rPr>
          <w:b/>
          <w:sz w:val="24"/>
          <w:szCs w:val="24"/>
        </w:rPr>
      </w:pPr>
      <w:r w:rsidRPr="00436F9C">
        <w:rPr>
          <w:rFonts w:hint="eastAsia"/>
          <w:b/>
          <w:sz w:val="24"/>
          <w:szCs w:val="24"/>
        </w:rPr>
        <w:lastRenderedPageBreak/>
        <w:t>二、</w:t>
      </w:r>
      <w:bookmarkEnd w:id="5"/>
      <w:r w:rsidRPr="00436F9C">
        <w:rPr>
          <w:rFonts w:hint="eastAsia"/>
          <w:b/>
          <w:sz w:val="24"/>
          <w:szCs w:val="24"/>
        </w:rPr>
        <w:t>评分细则</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992"/>
        <w:gridCol w:w="709"/>
        <w:gridCol w:w="6095"/>
      </w:tblGrid>
      <w:tr w:rsidR="000E18F6">
        <w:trPr>
          <w:trHeight w:val="20"/>
          <w:jc w:val="center"/>
        </w:trPr>
        <w:tc>
          <w:tcPr>
            <w:tcW w:w="988" w:type="dxa"/>
            <w:vAlign w:val="center"/>
          </w:tcPr>
          <w:p w:rsidR="000E18F6" w:rsidRDefault="006729A0">
            <w:pPr>
              <w:widowControl/>
              <w:jc w:val="center"/>
              <w:rPr>
                <w:rFonts w:ascii="宋体" w:eastAsia="宋体" w:hAnsi="宋体"/>
                <w:b/>
                <w:bCs/>
                <w:kern w:val="0"/>
                <w:sz w:val="18"/>
                <w:szCs w:val="18"/>
              </w:rPr>
            </w:pPr>
            <w:r>
              <w:rPr>
                <w:rFonts w:ascii="宋体" w:eastAsia="宋体" w:hAnsi="宋体" w:hint="eastAsia"/>
                <w:b/>
                <w:bCs/>
                <w:kern w:val="0"/>
                <w:sz w:val="18"/>
                <w:szCs w:val="18"/>
              </w:rPr>
              <w:t>评分内容</w:t>
            </w:r>
          </w:p>
        </w:tc>
        <w:tc>
          <w:tcPr>
            <w:tcW w:w="992" w:type="dxa"/>
            <w:vAlign w:val="center"/>
          </w:tcPr>
          <w:p w:rsidR="000E18F6" w:rsidRDefault="006729A0">
            <w:pPr>
              <w:widowControl/>
              <w:jc w:val="center"/>
              <w:rPr>
                <w:rFonts w:ascii="宋体" w:eastAsia="宋体" w:hAnsi="宋体"/>
                <w:b/>
                <w:bCs/>
                <w:kern w:val="0"/>
                <w:sz w:val="18"/>
                <w:szCs w:val="18"/>
              </w:rPr>
            </w:pPr>
            <w:r>
              <w:rPr>
                <w:rFonts w:ascii="宋体" w:eastAsia="宋体" w:hAnsi="宋体"/>
                <w:b/>
                <w:bCs/>
                <w:kern w:val="0"/>
                <w:sz w:val="18"/>
                <w:szCs w:val="18"/>
              </w:rPr>
              <w:t>评分因素</w:t>
            </w:r>
          </w:p>
        </w:tc>
        <w:tc>
          <w:tcPr>
            <w:tcW w:w="709" w:type="dxa"/>
            <w:vAlign w:val="center"/>
          </w:tcPr>
          <w:p w:rsidR="000E18F6" w:rsidRDefault="006729A0">
            <w:pPr>
              <w:widowControl/>
              <w:spacing w:line="240" w:lineRule="exact"/>
              <w:jc w:val="center"/>
              <w:rPr>
                <w:rFonts w:ascii="宋体" w:eastAsia="宋体" w:hAnsi="宋体"/>
                <w:b/>
                <w:bCs/>
                <w:kern w:val="0"/>
                <w:sz w:val="18"/>
                <w:szCs w:val="18"/>
              </w:rPr>
            </w:pPr>
            <w:r>
              <w:rPr>
                <w:rFonts w:ascii="宋体" w:eastAsia="宋体" w:hAnsi="宋体"/>
                <w:b/>
                <w:bCs/>
                <w:kern w:val="0"/>
                <w:sz w:val="18"/>
                <w:szCs w:val="18"/>
              </w:rPr>
              <w:t>分值</w:t>
            </w:r>
          </w:p>
        </w:tc>
        <w:tc>
          <w:tcPr>
            <w:tcW w:w="6095" w:type="dxa"/>
            <w:vAlign w:val="center"/>
          </w:tcPr>
          <w:p w:rsidR="000E18F6" w:rsidRDefault="006729A0">
            <w:pPr>
              <w:widowControl/>
              <w:spacing w:line="240" w:lineRule="exact"/>
              <w:jc w:val="center"/>
              <w:rPr>
                <w:rFonts w:ascii="宋体" w:eastAsia="宋体" w:hAnsi="宋体"/>
                <w:b/>
                <w:bCs/>
                <w:kern w:val="0"/>
                <w:sz w:val="18"/>
                <w:szCs w:val="18"/>
              </w:rPr>
            </w:pPr>
            <w:r>
              <w:rPr>
                <w:rFonts w:ascii="宋体" w:eastAsia="宋体" w:hAnsi="宋体" w:hint="eastAsia"/>
                <w:b/>
                <w:bCs/>
                <w:kern w:val="0"/>
                <w:sz w:val="18"/>
                <w:szCs w:val="18"/>
              </w:rPr>
              <w:t>量化指标</w:t>
            </w:r>
          </w:p>
        </w:tc>
      </w:tr>
      <w:tr w:rsidR="000E18F6">
        <w:trPr>
          <w:trHeight w:val="20"/>
          <w:jc w:val="center"/>
        </w:trPr>
        <w:tc>
          <w:tcPr>
            <w:tcW w:w="988" w:type="dxa"/>
            <w:vAlign w:val="center"/>
          </w:tcPr>
          <w:p w:rsidR="000E18F6" w:rsidRPr="006D6EDB" w:rsidRDefault="006729A0">
            <w:pPr>
              <w:widowControl/>
              <w:spacing w:line="280" w:lineRule="exact"/>
              <w:jc w:val="center"/>
              <w:rPr>
                <w:rFonts w:ascii="宋体" w:eastAsia="宋体" w:hAnsi="宋体" w:cs="宋体"/>
                <w:szCs w:val="21"/>
              </w:rPr>
            </w:pPr>
            <w:r w:rsidRPr="006D6EDB">
              <w:rPr>
                <w:rFonts w:ascii="宋体" w:eastAsia="宋体" w:hAnsi="宋体" w:cs="宋体" w:hint="eastAsia"/>
                <w:szCs w:val="21"/>
              </w:rPr>
              <w:t>磋商报价</w:t>
            </w:r>
          </w:p>
          <w:p w:rsidR="000E18F6" w:rsidRPr="006D6EDB" w:rsidRDefault="006729A0">
            <w:pPr>
              <w:widowControl/>
              <w:spacing w:line="280" w:lineRule="exact"/>
              <w:jc w:val="center"/>
              <w:rPr>
                <w:rFonts w:ascii="宋体" w:eastAsia="宋体" w:hAnsi="宋体" w:cs="宋体"/>
                <w:szCs w:val="21"/>
              </w:rPr>
            </w:pPr>
            <w:r w:rsidRPr="006D6EDB">
              <w:rPr>
                <w:rFonts w:ascii="宋体" w:eastAsia="宋体" w:hAnsi="宋体" w:cs="宋体" w:hint="eastAsia"/>
                <w:szCs w:val="21"/>
              </w:rPr>
              <w:t>（30分）</w:t>
            </w:r>
          </w:p>
        </w:tc>
        <w:tc>
          <w:tcPr>
            <w:tcW w:w="992" w:type="dxa"/>
            <w:vAlign w:val="center"/>
          </w:tcPr>
          <w:p w:rsidR="000E18F6" w:rsidRPr="006D6EDB" w:rsidRDefault="006729A0">
            <w:pPr>
              <w:widowControl/>
              <w:spacing w:line="280" w:lineRule="exact"/>
              <w:jc w:val="center"/>
              <w:rPr>
                <w:rFonts w:ascii="宋体" w:eastAsia="宋体" w:hAnsi="宋体" w:cs="宋体"/>
                <w:szCs w:val="21"/>
              </w:rPr>
            </w:pPr>
            <w:r w:rsidRPr="006D6EDB">
              <w:rPr>
                <w:rFonts w:ascii="宋体" w:eastAsia="宋体" w:hAnsi="宋体" w:cs="宋体" w:hint="eastAsia"/>
                <w:szCs w:val="21"/>
              </w:rPr>
              <w:t>报价得分</w:t>
            </w:r>
          </w:p>
        </w:tc>
        <w:tc>
          <w:tcPr>
            <w:tcW w:w="709" w:type="dxa"/>
            <w:vAlign w:val="center"/>
          </w:tcPr>
          <w:p w:rsidR="000E18F6" w:rsidRPr="006D6EDB" w:rsidRDefault="006729A0">
            <w:pPr>
              <w:widowControl/>
              <w:spacing w:line="280" w:lineRule="exact"/>
              <w:jc w:val="center"/>
              <w:rPr>
                <w:rFonts w:ascii="宋体" w:eastAsia="宋体" w:hAnsi="宋体" w:cs="宋体"/>
                <w:szCs w:val="21"/>
              </w:rPr>
            </w:pPr>
            <w:r w:rsidRPr="006D6EDB">
              <w:rPr>
                <w:rFonts w:ascii="宋体" w:eastAsia="宋体" w:hAnsi="宋体" w:cs="宋体" w:hint="eastAsia"/>
                <w:szCs w:val="21"/>
              </w:rPr>
              <w:t>30</w:t>
            </w:r>
          </w:p>
        </w:tc>
        <w:tc>
          <w:tcPr>
            <w:tcW w:w="6095" w:type="dxa"/>
            <w:vAlign w:val="center"/>
          </w:tcPr>
          <w:p w:rsidR="000E18F6" w:rsidRPr="006D6EDB" w:rsidRDefault="006729A0">
            <w:pPr>
              <w:adjustRightInd w:val="0"/>
              <w:spacing w:line="280" w:lineRule="exact"/>
              <w:contextualSpacing/>
              <w:rPr>
                <w:rFonts w:ascii="宋体" w:eastAsia="宋体" w:hAnsi="宋体"/>
                <w:szCs w:val="21"/>
              </w:rPr>
            </w:pPr>
            <w:r w:rsidRPr="006D6EDB">
              <w:rPr>
                <w:rFonts w:ascii="宋体" w:eastAsia="宋体" w:hAnsi="宋体" w:hint="eastAsia"/>
                <w:szCs w:val="21"/>
              </w:rPr>
              <w:t>价格评分的计算方法如下：</w:t>
            </w:r>
          </w:p>
          <w:p w:rsidR="000E18F6" w:rsidRPr="006D6EDB" w:rsidRDefault="006729A0">
            <w:pPr>
              <w:adjustRightInd w:val="0"/>
              <w:spacing w:line="280" w:lineRule="exact"/>
              <w:contextualSpacing/>
              <w:rPr>
                <w:rFonts w:ascii="宋体" w:eastAsia="宋体" w:hAnsi="宋体"/>
                <w:szCs w:val="21"/>
              </w:rPr>
            </w:pPr>
            <w:r w:rsidRPr="006D6EDB">
              <w:rPr>
                <w:rFonts w:ascii="宋体" w:eastAsia="宋体" w:hAnsi="宋体" w:hint="eastAsia"/>
                <w:szCs w:val="21"/>
              </w:rPr>
              <w:t>1</w:t>
            </w:r>
            <w:r w:rsidR="002F62D9">
              <w:rPr>
                <w:rFonts w:ascii="宋体" w:eastAsia="宋体" w:hAnsi="宋体" w:hint="eastAsia"/>
                <w:szCs w:val="21"/>
              </w:rPr>
              <w:t>.</w:t>
            </w:r>
            <w:r w:rsidRPr="006D6EDB">
              <w:rPr>
                <w:rFonts w:ascii="宋体" w:eastAsia="宋体" w:hAnsi="宋体" w:hint="eastAsia"/>
                <w:szCs w:val="21"/>
              </w:rPr>
              <w:t>满足磋商文件要求且最后磋商报价最低的报价为磋商基准价（D），其价格分为满分；</w:t>
            </w:r>
          </w:p>
          <w:p w:rsidR="000E18F6" w:rsidRPr="006D6EDB" w:rsidRDefault="006729A0" w:rsidP="002F62D9">
            <w:pPr>
              <w:adjustRightInd w:val="0"/>
              <w:spacing w:line="280" w:lineRule="exact"/>
              <w:contextualSpacing/>
              <w:rPr>
                <w:rFonts w:ascii="宋体" w:eastAsia="宋体" w:hAnsi="宋体"/>
                <w:szCs w:val="21"/>
              </w:rPr>
            </w:pPr>
            <w:r w:rsidRPr="006D6EDB">
              <w:rPr>
                <w:rFonts w:ascii="宋体" w:eastAsia="宋体" w:hAnsi="宋体" w:hint="eastAsia"/>
                <w:szCs w:val="21"/>
              </w:rPr>
              <w:t>2</w:t>
            </w:r>
            <w:r w:rsidR="002F62D9">
              <w:rPr>
                <w:rFonts w:ascii="宋体" w:eastAsia="宋体" w:hAnsi="宋体" w:hint="eastAsia"/>
                <w:szCs w:val="21"/>
              </w:rPr>
              <w:t>.</w:t>
            </w:r>
            <w:r w:rsidRPr="006D6EDB">
              <w:rPr>
                <w:rFonts w:ascii="宋体" w:eastAsia="宋体" w:hAnsi="宋体" w:hint="eastAsia"/>
                <w:szCs w:val="21"/>
              </w:rPr>
              <w:t>其他合格供应商的磋商报价得分按如下公式计算：磋商报价得分=（磋商基准价D/最后磋商报价V）×价格权值×100；价格权值=</w:t>
            </w:r>
            <w:r w:rsidRPr="006D6EDB">
              <w:rPr>
                <w:rFonts w:ascii="宋体" w:eastAsia="宋体" w:hAnsi="宋体" w:hint="eastAsia"/>
                <w:szCs w:val="21"/>
                <w:u w:val="single"/>
              </w:rPr>
              <w:t xml:space="preserve"> </w:t>
            </w:r>
            <w:r w:rsidRPr="006D6EDB">
              <w:rPr>
                <w:rFonts w:ascii="宋体" w:eastAsia="宋体" w:hAnsi="宋体"/>
                <w:szCs w:val="21"/>
                <w:u w:val="single"/>
              </w:rPr>
              <w:t>30</w:t>
            </w:r>
            <w:r w:rsidRPr="006D6EDB">
              <w:rPr>
                <w:rFonts w:ascii="宋体" w:eastAsia="宋体" w:hAnsi="宋体" w:hint="eastAsia"/>
                <w:szCs w:val="21"/>
                <w:u w:val="single"/>
              </w:rPr>
              <w:t xml:space="preserve"> </w:t>
            </w:r>
            <w:r w:rsidRPr="006D6EDB">
              <w:rPr>
                <w:rFonts w:ascii="宋体" w:eastAsia="宋体" w:hAnsi="宋体" w:hint="eastAsia"/>
                <w:szCs w:val="21"/>
              </w:rPr>
              <w:t>% 。</w:t>
            </w:r>
          </w:p>
        </w:tc>
      </w:tr>
      <w:tr w:rsidR="00E41F9E" w:rsidTr="00876030">
        <w:trPr>
          <w:trHeight w:val="1150"/>
          <w:jc w:val="center"/>
        </w:trPr>
        <w:tc>
          <w:tcPr>
            <w:tcW w:w="988" w:type="dxa"/>
            <w:vMerge w:val="restart"/>
            <w:vAlign w:val="center"/>
          </w:tcPr>
          <w:p w:rsidR="00E41F9E" w:rsidRPr="006D6EDB" w:rsidRDefault="00E41F9E">
            <w:pPr>
              <w:widowControl/>
              <w:spacing w:line="280" w:lineRule="exact"/>
              <w:jc w:val="center"/>
              <w:rPr>
                <w:rFonts w:ascii="宋体" w:eastAsia="宋体" w:hAnsi="宋体" w:cs="宋体"/>
                <w:szCs w:val="21"/>
              </w:rPr>
            </w:pPr>
            <w:r w:rsidRPr="006D6EDB">
              <w:rPr>
                <w:rFonts w:ascii="宋体" w:eastAsia="宋体" w:hAnsi="宋体" w:cs="宋体" w:hint="eastAsia"/>
                <w:szCs w:val="21"/>
              </w:rPr>
              <w:t>商务部分（20分）</w:t>
            </w:r>
          </w:p>
        </w:tc>
        <w:tc>
          <w:tcPr>
            <w:tcW w:w="992" w:type="dxa"/>
            <w:vAlign w:val="center"/>
          </w:tcPr>
          <w:p w:rsidR="00E41F9E" w:rsidRPr="006D6EDB" w:rsidRDefault="00E41F9E">
            <w:pPr>
              <w:widowControl/>
              <w:spacing w:line="280" w:lineRule="exact"/>
              <w:jc w:val="center"/>
              <w:rPr>
                <w:rFonts w:ascii="宋体" w:eastAsia="宋体" w:hAnsi="宋体"/>
                <w:kern w:val="0"/>
                <w:szCs w:val="21"/>
              </w:rPr>
            </w:pPr>
            <w:r w:rsidRPr="006D6EDB">
              <w:rPr>
                <w:rFonts w:ascii="宋体" w:eastAsia="宋体" w:hAnsi="宋体" w:cs="宋体" w:hint="eastAsia"/>
                <w:szCs w:val="21"/>
              </w:rPr>
              <w:t>售后服务承诺及质保</w:t>
            </w:r>
          </w:p>
        </w:tc>
        <w:tc>
          <w:tcPr>
            <w:tcW w:w="709" w:type="dxa"/>
            <w:vAlign w:val="center"/>
          </w:tcPr>
          <w:p w:rsidR="00E41F9E" w:rsidRPr="006D6EDB" w:rsidRDefault="00CF1DD5" w:rsidP="00876030">
            <w:pPr>
              <w:spacing w:line="280" w:lineRule="exact"/>
              <w:jc w:val="center"/>
              <w:rPr>
                <w:rFonts w:ascii="宋体" w:eastAsia="宋体" w:hAnsi="宋体"/>
                <w:kern w:val="0"/>
                <w:szCs w:val="21"/>
              </w:rPr>
            </w:pPr>
            <w:r w:rsidRPr="006D6EDB">
              <w:rPr>
                <w:rFonts w:ascii="宋体" w:eastAsia="宋体" w:hAnsi="宋体" w:hint="eastAsia"/>
                <w:kern w:val="0"/>
                <w:szCs w:val="21"/>
              </w:rPr>
              <w:t>10</w:t>
            </w:r>
          </w:p>
        </w:tc>
        <w:tc>
          <w:tcPr>
            <w:tcW w:w="6095" w:type="dxa"/>
            <w:vAlign w:val="center"/>
          </w:tcPr>
          <w:p w:rsidR="00E41F9E" w:rsidRPr="006D6EDB" w:rsidRDefault="006D6EDB" w:rsidP="00670D8A">
            <w:pPr>
              <w:widowControl/>
              <w:rPr>
                <w:rFonts w:ascii="宋体" w:eastAsia="宋体" w:hAnsi="宋体"/>
                <w:kern w:val="0"/>
                <w:szCs w:val="21"/>
              </w:rPr>
            </w:pPr>
            <w:r w:rsidRPr="006D6EDB">
              <w:rPr>
                <w:rFonts w:ascii="宋体" w:eastAsia="宋体" w:hAnsi="宋体" w:hint="eastAsia"/>
                <w:kern w:val="0"/>
                <w:szCs w:val="21"/>
              </w:rPr>
              <w:t>能提供本地化服务团队为学校提供技术支持</w:t>
            </w:r>
            <w:r w:rsidR="00670D8A">
              <w:rPr>
                <w:rFonts w:ascii="宋体" w:eastAsia="宋体" w:hAnsi="宋体" w:hint="eastAsia"/>
                <w:kern w:val="0"/>
                <w:szCs w:val="21"/>
              </w:rPr>
              <w:t>，能</w:t>
            </w:r>
            <w:r w:rsidR="00670D8A" w:rsidRPr="00670D8A">
              <w:rPr>
                <w:rFonts w:ascii="宋体" w:eastAsia="宋体" w:hAnsi="宋体" w:hint="eastAsia"/>
                <w:kern w:val="0"/>
                <w:szCs w:val="21"/>
              </w:rPr>
              <w:t>提供</w:t>
            </w:r>
            <w:r w:rsidR="00670D8A" w:rsidRPr="00670D8A">
              <w:rPr>
                <w:rFonts w:ascii="宋体" w:eastAsia="宋体" w:hAnsi="宋体"/>
                <w:kern w:val="0"/>
                <w:szCs w:val="21"/>
              </w:rPr>
              <w:t>6</w:t>
            </w:r>
            <w:r w:rsidR="00670D8A">
              <w:rPr>
                <w:rFonts w:ascii="宋体" w:eastAsia="宋体" w:hAnsi="宋体"/>
                <w:kern w:val="0"/>
                <w:szCs w:val="21"/>
              </w:rPr>
              <w:t>小时以内实时信息反馈及处理服务</w:t>
            </w:r>
            <w:r w:rsidR="00670D8A">
              <w:rPr>
                <w:rFonts w:ascii="宋体" w:eastAsia="宋体" w:hAnsi="宋体" w:hint="eastAsia"/>
                <w:kern w:val="0"/>
                <w:szCs w:val="21"/>
              </w:rPr>
              <w:t>。</w:t>
            </w:r>
            <w:r w:rsidR="00493116" w:rsidRPr="00493116">
              <w:rPr>
                <w:rFonts w:ascii="宋体" w:eastAsia="宋体" w:hAnsi="宋体" w:hint="eastAsia"/>
                <w:szCs w:val="21"/>
              </w:rPr>
              <w:t>（5分）能提供48小时现场应急处理服务。（5分）</w:t>
            </w:r>
          </w:p>
        </w:tc>
      </w:tr>
      <w:tr w:rsidR="000E18F6" w:rsidTr="00DD27E6">
        <w:trPr>
          <w:trHeight w:val="838"/>
          <w:jc w:val="center"/>
        </w:trPr>
        <w:tc>
          <w:tcPr>
            <w:tcW w:w="988" w:type="dxa"/>
            <w:vMerge/>
            <w:vAlign w:val="center"/>
          </w:tcPr>
          <w:p w:rsidR="000E18F6" w:rsidRPr="006D6EDB" w:rsidRDefault="000E18F6">
            <w:pPr>
              <w:widowControl/>
              <w:spacing w:line="280" w:lineRule="exact"/>
              <w:jc w:val="center"/>
              <w:rPr>
                <w:rFonts w:ascii="宋体" w:eastAsia="宋体" w:hAnsi="宋体" w:cs="宋体"/>
                <w:szCs w:val="21"/>
              </w:rPr>
            </w:pPr>
          </w:p>
        </w:tc>
        <w:tc>
          <w:tcPr>
            <w:tcW w:w="992" w:type="dxa"/>
            <w:vAlign w:val="center"/>
          </w:tcPr>
          <w:p w:rsidR="000E18F6" w:rsidRPr="006D6EDB" w:rsidRDefault="00F9566F" w:rsidP="006D6EDB">
            <w:pPr>
              <w:widowControl/>
              <w:spacing w:line="280" w:lineRule="exact"/>
              <w:jc w:val="center"/>
              <w:rPr>
                <w:rFonts w:ascii="宋体" w:eastAsia="宋体" w:hAnsi="宋体"/>
                <w:kern w:val="0"/>
                <w:szCs w:val="21"/>
              </w:rPr>
            </w:pPr>
            <w:r>
              <w:rPr>
                <w:rFonts w:ascii="宋体" w:eastAsia="宋体" w:hAnsi="宋体" w:hint="eastAsia"/>
                <w:kern w:val="0"/>
                <w:szCs w:val="21"/>
              </w:rPr>
              <w:t>论文抽检服务</w:t>
            </w:r>
            <w:r w:rsidR="00E13AE9">
              <w:rPr>
                <w:rFonts w:ascii="宋体" w:eastAsia="宋体" w:hAnsi="宋体" w:hint="eastAsia"/>
                <w:kern w:val="0"/>
                <w:szCs w:val="21"/>
              </w:rPr>
              <w:t>保障</w:t>
            </w:r>
            <w:bookmarkStart w:id="7" w:name="_GoBack"/>
            <w:bookmarkEnd w:id="7"/>
          </w:p>
        </w:tc>
        <w:tc>
          <w:tcPr>
            <w:tcW w:w="709" w:type="dxa"/>
            <w:vAlign w:val="center"/>
          </w:tcPr>
          <w:p w:rsidR="000E18F6" w:rsidRPr="006D6EDB" w:rsidRDefault="00CF1DD5">
            <w:pPr>
              <w:widowControl/>
              <w:spacing w:line="280" w:lineRule="exact"/>
              <w:jc w:val="center"/>
              <w:rPr>
                <w:rFonts w:ascii="宋体" w:eastAsia="宋体" w:hAnsi="宋体"/>
                <w:szCs w:val="21"/>
              </w:rPr>
            </w:pPr>
            <w:r w:rsidRPr="006D6EDB">
              <w:rPr>
                <w:rFonts w:ascii="宋体" w:eastAsia="宋体" w:hAnsi="宋体" w:hint="eastAsia"/>
                <w:szCs w:val="21"/>
              </w:rPr>
              <w:t>10</w:t>
            </w:r>
          </w:p>
        </w:tc>
        <w:tc>
          <w:tcPr>
            <w:tcW w:w="6095" w:type="dxa"/>
            <w:vAlign w:val="center"/>
          </w:tcPr>
          <w:p w:rsidR="000E18F6" w:rsidRPr="00F9566F" w:rsidRDefault="00F9566F">
            <w:pPr>
              <w:widowControl/>
              <w:spacing w:line="280" w:lineRule="exact"/>
              <w:rPr>
                <w:rFonts w:ascii="宋体" w:eastAsia="宋体" w:hAnsi="宋体"/>
                <w:szCs w:val="21"/>
              </w:rPr>
            </w:pPr>
            <w:r w:rsidRPr="00F9566F">
              <w:rPr>
                <w:rFonts w:ascii="宋体" w:eastAsia="宋体" w:hAnsi="宋体" w:hint="eastAsia"/>
                <w:szCs w:val="21"/>
              </w:rPr>
              <w:t>能提供教育部毕业论文（设计）抽检配套服务，包括论文及附件编号整理，数据对接等。</w:t>
            </w:r>
          </w:p>
        </w:tc>
      </w:tr>
      <w:tr w:rsidR="00AE18C9">
        <w:trPr>
          <w:trHeight w:val="20"/>
          <w:jc w:val="center"/>
        </w:trPr>
        <w:tc>
          <w:tcPr>
            <w:tcW w:w="988" w:type="dxa"/>
            <w:vMerge w:val="restart"/>
            <w:vAlign w:val="center"/>
          </w:tcPr>
          <w:p w:rsidR="00AE18C9" w:rsidRPr="006D6EDB" w:rsidRDefault="00AE18C9" w:rsidP="006D6EDB">
            <w:pPr>
              <w:pStyle w:val="1"/>
              <w:spacing w:before="0" w:after="0" w:line="360" w:lineRule="auto"/>
              <w:jc w:val="center"/>
              <w:rPr>
                <w:rFonts w:ascii="宋体" w:eastAsia="宋体" w:hAnsi="宋体"/>
                <w:b w:val="0"/>
                <w:sz w:val="21"/>
                <w:szCs w:val="21"/>
              </w:rPr>
            </w:pPr>
            <w:r w:rsidRPr="006D6EDB">
              <w:rPr>
                <w:rFonts w:ascii="宋体" w:eastAsia="宋体" w:hAnsi="宋体" w:hint="eastAsia"/>
                <w:b w:val="0"/>
                <w:sz w:val="21"/>
                <w:szCs w:val="21"/>
              </w:rPr>
              <w:t>技术部分</w:t>
            </w:r>
            <w:r>
              <w:rPr>
                <w:rFonts w:ascii="宋体" w:eastAsia="宋体" w:hAnsi="宋体" w:hint="eastAsia"/>
                <w:b w:val="0"/>
                <w:sz w:val="21"/>
                <w:szCs w:val="21"/>
              </w:rPr>
              <w:t>（50分）</w:t>
            </w:r>
          </w:p>
        </w:tc>
        <w:tc>
          <w:tcPr>
            <w:tcW w:w="992" w:type="dxa"/>
            <w:vAlign w:val="center"/>
          </w:tcPr>
          <w:p w:rsidR="00AE18C9" w:rsidRPr="002F62D9" w:rsidRDefault="00AE18C9" w:rsidP="002F62D9">
            <w:pPr>
              <w:widowControl/>
              <w:spacing w:line="360" w:lineRule="auto"/>
              <w:jc w:val="center"/>
              <w:rPr>
                <w:rFonts w:ascii="宋体" w:eastAsia="宋体" w:hAnsi="宋体"/>
                <w:szCs w:val="21"/>
              </w:rPr>
            </w:pPr>
            <w:r>
              <w:rPr>
                <w:rFonts w:ascii="宋体" w:eastAsia="宋体" w:hAnsi="宋体" w:hint="eastAsia"/>
                <w:szCs w:val="21"/>
              </w:rPr>
              <w:t>基本要求</w:t>
            </w:r>
          </w:p>
        </w:tc>
        <w:tc>
          <w:tcPr>
            <w:tcW w:w="709" w:type="dxa"/>
            <w:vAlign w:val="center"/>
          </w:tcPr>
          <w:p w:rsidR="00AE18C9" w:rsidRPr="002F62D9" w:rsidRDefault="00AE18C9" w:rsidP="002F62D9">
            <w:pPr>
              <w:widowControl/>
              <w:spacing w:line="360" w:lineRule="auto"/>
              <w:jc w:val="center"/>
              <w:rPr>
                <w:rFonts w:ascii="宋体" w:eastAsia="宋体" w:hAnsi="宋体"/>
                <w:szCs w:val="21"/>
              </w:rPr>
            </w:pPr>
            <w:r>
              <w:rPr>
                <w:rFonts w:ascii="宋体" w:eastAsia="宋体" w:hAnsi="宋体" w:hint="eastAsia"/>
                <w:szCs w:val="21"/>
              </w:rPr>
              <w:t>20</w:t>
            </w:r>
          </w:p>
        </w:tc>
        <w:tc>
          <w:tcPr>
            <w:tcW w:w="6095" w:type="dxa"/>
            <w:vAlign w:val="center"/>
          </w:tcPr>
          <w:p w:rsidR="00AE18C9" w:rsidRPr="002F62D9" w:rsidRDefault="00AE18C9" w:rsidP="002F62D9">
            <w:pPr>
              <w:widowControl/>
              <w:spacing w:line="360" w:lineRule="auto"/>
              <w:rPr>
                <w:rFonts w:ascii="宋体" w:eastAsia="宋体" w:hAnsi="宋体"/>
                <w:szCs w:val="21"/>
              </w:rPr>
            </w:pPr>
            <w:r w:rsidRPr="002F62D9">
              <w:rPr>
                <w:rFonts w:ascii="宋体" w:eastAsia="宋体" w:hAnsi="宋体" w:hint="eastAsia"/>
                <w:szCs w:val="21"/>
              </w:rPr>
              <w:t>能根据我校毕业论文（设计）管理制度，对毕业论文（设计）工作流程进行全过程在线管理，包括题目双选、任务书、开</w:t>
            </w:r>
            <w:r>
              <w:rPr>
                <w:rFonts w:ascii="宋体" w:eastAsia="宋体" w:hAnsi="宋体" w:hint="eastAsia"/>
                <w:szCs w:val="21"/>
              </w:rPr>
              <w:t>题报告、中期检查、指导记录、双盲评阅、论文答辩、成绩评定等环节。</w:t>
            </w:r>
          </w:p>
        </w:tc>
      </w:tr>
      <w:tr w:rsidR="00AE18C9">
        <w:trPr>
          <w:trHeight w:val="20"/>
          <w:jc w:val="center"/>
        </w:trPr>
        <w:tc>
          <w:tcPr>
            <w:tcW w:w="988" w:type="dxa"/>
            <w:vMerge/>
            <w:vAlign w:val="center"/>
          </w:tcPr>
          <w:p w:rsidR="00AE18C9" w:rsidRPr="006D6EDB" w:rsidRDefault="00AE18C9" w:rsidP="006D6EDB">
            <w:pPr>
              <w:pStyle w:val="1"/>
              <w:spacing w:before="0" w:after="0" w:line="360" w:lineRule="auto"/>
              <w:jc w:val="center"/>
              <w:rPr>
                <w:rFonts w:ascii="宋体" w:eastAsia="宋体" w:hAnsi="宋体"/>
                <w:b w:val="0"/>
                <w:sz w:val="21"/>
                <w:szCs w:val="21"/>
              </w:rPr>
            </w:pPr>
          </w:p>
        </w:tc>
        <w:tc>
          <w:tcPr>
            <w:tcW w:w="992" w:type="dxa"/>
            <w:vAlign w:val="center"/>
          </w:tcPr>
          <w:p w:rsidR="00AE18C9" w:rsidRPr="002F62D9" w:rsidRDefault="00AE18C9" w:rsidP="002F62D9">
            <w:pPr>
              <w:widowControl/>
              <w:spacing w:line="360" w:lineRule="auto"/>
              <w:jc w:val="center"/>
              <w:rPr>
                <w:rFonts w:ascii="宋体" w:eastAsia="宋体" w:hAnsi="宋体"/>
                <w:szCs w:val="21"/>
              </w:rPr>
            </w:pPr>
            <w:r>
              <w:rPr>
                <w:rFonts w:ascii="宋体" w:eastAsia="宋体" w:hAnsi="宋体" w:hint="eastAsia"/>
                <w:szCs w:val="21"/>
              </w:rPr>
              <w:t>功能要求</w:t>
            </w:r>
          </w:p>
        </w:tc>
        <w:tc>
          <w:tcPr>
            <w:tcW w:w="709" w:type="dxa"/>
            <w:vAlign w:val="center"/>
          </w:tcPr>
          <w:p w:rsidR="00AE18C9" w:rsidRPr="002F62D9" w:rsidRDefault="00AE18C9" w:rsidP="002F62D9">
            <w:pPr>
              <w:widowControl/>
              <w:spacing w:line="360" w:lineRule="auto"/>
              <w:jc w:val="center"/>
              <w:rPr>
                <w:rFonts w:ascii="宋体" w:eastAsia="宋体" w:hAnsi="宋体"/>
                <w:szCs w:val="21"/>
              </w:rPr>
            </w:pPr>
            <w:r>
              <w:rPr>
                <w:rFonts w:ascii="宋体" w:eastAsia="宋体" w:hAnsi="宋体" w:hint="eastAsia"/>
                <w:szCs w:val="21"/>
              </w:rPr>
              <w:t>15</w:t>
            </w:r>
          </w:p>
        </w:tc>
        <w:tc>
          <w:tcPr>
            <w:tcW w:w="6095" w:type="dxa"/>
            <w:vAlign w:val="center"/>
          </w:tcPr>
          <w:p w:rsidR="00AE18C9" w:rsidRPr="00072229" w:rsidRDefault="00AE18C9" w:rsidP="00072229">
            <w:pPr>
              <w:widowControl/>
              <w:spacing w:line="360" w:lineRule="auto"/>
              <w:rPr>
                <w:rFonts w:ascii="宋体" w:eastAsia="宋体" w:hAnsi="宋体"/>
                <w:szCs w:val="21"/>
              </w:rPr>
            </w:pPr>
            <w:r>
              <w:rPr>
                <w:rFonts w:ascii="宋体" w:eastAsia="宋体" w:hAnsi="宋体" w:hint="eastAsia"/>
                <w:szCs w:val="21"/>
              </w:rPr>
              <w:t>1</w:t>
            </w:r>
            <w:r>
              <w:rPr>
                <w:rFonts w:ascii="宋体" w:eastAsia="宋体" w:hAnsi="宋体"/>
                <w:szCs w:val="21"/>
              </w:rPr>
              <w:t>.</w:t>
            </w:r>
            <w:r w:rsidRPr="00072229">
              <w:rPr>
                <w:rFonts w:ascii="宋体" w:eastAsia="宋体" w:hAnsi="宋体"/>
                <w:szCs w:val="21"/>
              </w:rPr>
              <w:t>支持多账号在线检查全校师生论文全部资料；</w:t>
            </w:r>
            <w:r>
              <w:rPr>
                <w:rFonts w:ascii="宋体" w:eastAsia="宋体" w:hAnsi="宋体" w:hint="eastAsia"/>
                <w:szCs w:val="21"/>
              </w:rPr>
              <w:t>（5分）</w:t>
            </w:r>
          </w:p>
          <w:p w:rsidR="00AE18C9" w:rsidRPr="00072229" w:rsidRDefault="00AE18C9" w:rsidP="00072229">
            <w:pPr>
              <w:widowControl/>
              <w:spacing w:line="360" w:lineRule="auto"/>
              <w:rPr>
                <w:rFonts w:ascii="宋体" w:eastAsia="宋体" w:hAnsi="宋体"/>
                <w:szCs w:val="21"/>
              </w:rPr>
            </w:pPr>
            <w:r>
              <w:rPr>
                <w:rFonts w:ascii="宋体" w:eastAsia="宋体" w:hAnsi="宋体" w:hint="eastAsia"/>
                <w:szCs w:val="21"/>
              </w:rPr>
              <w:t>2</w:t>
            </w:r>
            <w:r>
              <w:rPr>
                <w:rFonts w:ascii="宋体" w:eastAsia="宋体" w:hAnsi="宋体"/>
                <w:szCs w:val="21"/>
              </w:rPr>
              <w:t>.</w:t>
            </w:r>
            <w:r w:rsidRPr="00072229">
              <w:rPr>
                <w:rFonts w:ascii="宋体" w:eastAsia="宋体" w:hAnsi="宋体"/>
                <w:szCs w:val="21"/>
              </w:rPr>
              <w:t>能根据学校论文格式规范，对论文进行格式检测；</w:t>
            </w:r>
            <w:r>
              <w:rPr>
                <w:rFonts w:ascii="宋体" w:eastAsia="宋体" w:hAnsi="宋体" w:hint="eastAsia"/>
                <w:szCs w:val="21"/>
              </w:rPr>
              <w:t>（5分）</w:t>
            </w:r>
          </w:p>
          <w:p w:rsidR="00AE18C9" w:rsidRPr="00F9566F" w:rsidRDefault="00AE18C9" w:rsidP="00F9566F">
            <w:pPr>
              <w:widowControl/>
              <w:spacing w:line="360" w:lineRule="auto"/>
              <w:rPr>
                <w:rFonts w:ascii="宋体" w:eastAsia="宋体" w:hAnsi="宋体"/>
                <w:szCs w:val="21"/>
              </w:rPr>
            </w:pPr>
            <w:r>
              <w:rPr>
                <w:rFonts w:ascii="宋体" w:eastAsia="宋体" w:hAnsi="宋体" w:hint="eastAsia"/>
                <w:szCs w:val="21"/>
              </w:rPr>
              <w:t>3</w:t>
            </w:r>
            <w:r>
              <w:rPr>
                <w:rFonts w:ascii="宋体" w:eastAsia="宋体" w:hAnsi="宋体"/>
                <w:szCs w:val="21"/>
              </w:rPr>
              <w:t>.</w:t>
            </w:r>
            <w:r w:rsidRPr="00072229">
              <w:rPr>
                <w:rFonts w:ascii="宋体" w:eastAsia="宋体" w:hAnsi="宋体"/>
                <w:szCs w:val="21"/>
              </w:rPr>
              <w:t>能根据各学院要求，对学校论文模板进行个性化调整；</w:t>
            </w:r>
            <w:r>
              <w:rPr>
                <w:rFonts w:ascii="宋体" w:eastAsia="宋体" w:hAnsi="宋体" w:hint="eastAsia"/>
                <w:szCs w:val="21"/>
              </w:rPr>
              <w:t>（5分）</w:t>
            </w:r>
            <w:r w:rsidRPr="00072229">
              <w:rPr>
                <w:rFonts w:ascii="宋体" w:eastAsia="宋体" w:hAnsi="宋体" w:hint="eastAsia"/>
                <w:b/>
                <w:szCs w:val="21"/>
              </w:rPr>
              <w:t xml:space="preserve"> </w:t>
            </w:r>
          </w:p>
        </w:tc>
      </w:tr>
      <w:tr w:rsidR="00AE18C9">
        <w:trPr>
          <w:trHeight w:val="20"/>
          <w:jc w:val="center"/>
        </w:trPr>
        <w:tc>
          <w:tcPr>
            <w:tcW w:w="988" w:type="dxa"/>
            <w:vMerge/>
            <w:vAlign w:val="center"/>
          </w:tcPr>
          <w:p w:rsidR="00AE18C9" w:rsidRPr="006D6EDB" w:rsidRDefault="00AE18C9" w:rsidP="006D6EDB">
            <w:pPr>
              <w:pStyle w:val="1"/>
              <w:spacing w:before="0" w:after="0" w:line="360" w:lineRule="auto"/>
              <w:jc w:val="center"/>
              <w:rPr>
                <w:rFonts w:ascii="宋体" w:eastAsia="宋体" w:hAnsi="宋体"/>
                <w:b w:val="0"/>
                <w:sz w:val="21"/>
                <w:szCs w:val="21"/>
              </w:rPr>
            </w:pPr>
          </w:p>
        </w:tc>
        <w:tc>
          <w:tcPr>
            <w:tcW w:w="992" w:type="dxa"/>
            <w:vAlign w:val="center"/>
          </w:tcPr>
          <w:p w:rsidR="00AE18C9" w:rsidRPr="002F62D9" w:rsidRDefault="00AE18C9" w:rsidP="00A5344B">
            <w:pPr>
              <w:widowControl/>
              <w:spacing w:line="360" w:lineRule="auto"/>
              <w:jc w:val="center"/>
              <w:rPr>
                <w:rFonts w:ascii="宋体" w:eastAsia="宋体" w:hAnsi="宋体"/>
                <w:szCs w:val="21"/>
              </w:rPr>
            </w:pPr>
            <w:r>
              <w:rPr>
                <w:rFonts w:ascii="宋体" w:eastAsia="宋体" w:hAnsi="宋体" w:hint="eastAsia"/>
                <w:szCs w:val="21"/>
              </w:rPr>
              <w:t>数量要求</w:t>
            </w:r>
          </w:p>
        </w:tc>
        <w:tc>
          <w:tcPr>
            <w:tcW w:w="709" w:type="dxa"/>
            <w:vAlign w:val="center"/>
          </w:tcPr>
          <w:p w:rsidR="00AE18C9" w:rsidRPr="002F62D9" w:rsidRDefault="00AE18C9" w:rsidP="002F62D9">
            <w:pPr>
              <w:widowControl/>
              <w:spacing w:line="360" w:lineRule="auto"/>
              <w:jc w:val="center"/>
              <w:rPr>
                <w:rFonts w:ascii="宋体" w:eastAsia="宋体" w:hAnsi="宋体"/>
                <w:szCs w:val="21"/>
              </w:rPr>
            </w:pPr>
            <w:r>
              <w:rPr>
                <w:rFonts w:ascii="宋体" w:eastAsia="宋体" w:hAnsi="宋体" w:hint="eastAsia"/>
                <w:szCs w:val="21"/>
              </w:rPr>
              <w:t>15</w:t>
            </w:r>
          </w:p>
        </w:tc>
        <w:tc>
          <w:tcPr>
            <w:tcW w:w="6095" w:type="dxa"/>
            <w:vAlign w:val="center"/>
          </w:tcPr>
          <w:p w:rsidR="00AE18C9" w:rsidRPr="002F62D9" w:rsidRDefault="00AE18C9" w:rsidP="005C3154">
            <w:pPr>
              <w:widowControl/>
              <w:spacing w:line="360" w:lineRule="auto"/>
              <w:jc w:val="left"/>
              <w:rPr>
                <w:rFonts w:ascii="宋体" w:eastAsia="宋体" w:hAnsi="宋体"/>
                <w:szCs w:val="21"/>
              </w:rPr>
            </w:pPr>
            <w:r w:rsidRPr="00AE18C9">
              <w:rPr>
                <w:rFonts w:ascii="宋体" w:eastAsia="宋体" w:hAnsi="宋体" w:hint="eastAsia"/>
                <w:szCs w:val="21"/>
              </w:rPr>
              <w:t>为我校</w:t>
            </w:r>
            <w:r w:rsidRPr="00AE18C9">
              <w:rPr>
                <w:rFonts w:ascii="宋体" w:eastAsia="宋体" w:hAnsi="宋体"/>
                <w:szCs w:val="21"/>
              </w:rPr>
              <w:t>3300名本科毕业生提供免费毕业论文（设计）格式检测和查重服务，其中查重检测次数每人2次，格式检测次数每人1次。超出部分收费每篇不超过30元，或每千字符不超过1.5元。</w:t>
            </w:r>
          </w:p>
        </w:tc>
      </w:tr>
      <w:tr w:rsidR="000E18F6">
        <w:trPr>
          <w:trHeight w:val="434"/>
          <w:jc w:val="center"/>
        </w:trPr>
        <w:tc>
          <w:tcPr>
            <w:tcW w:w="988" w:type="dxa"/>
            <w:vAlign w:val="center"/>
          </w:tcPr>
          <w:p w:rsidR="000E18F6" w:rsidRDefault="006729A0">
            <w:pPr>
              <w:widowControl/>
              <w:spacing w:line="280" w:lineRule="exact"/>
              <w:jc w:val="center"/>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=SUM(ABOVE) \# "0" </w:instrText>
            </w:r>
            <w:r>
              <w:rPr>
                <w:rFonts w:ascii="宋体" w:eastAsia="宋体" w:hAnsi="宋体"/>
                <w:szCs w:val="21"/>
              </w:rPr>
              <w:fldChar w:fldCharType="separate"/>
            </w:r>
            <w:r>
              <w:rPr>
                <w:rFonts w:ascii="宋体" w:eastAsia="宋体" w:hAnsi="宋体"/>
                <w:szCs w:val="21"/>
              </w:rPr>
              <w:t>100</w:t>
            </w:r>
            <w:r>
              <w:rPr>
                <w:rFonts w:ascii="宋体" w:eastAsia="宋体" w:hAnsi="宋体"/>
                <w:szCs w:val="21"/>
              </w:rPr>
              <w:fldChar w:fldCharType="end"/>
            </w:r>
          </w:p>
        </w:tc>
        <w:tc>
          <w:tcPr>
            <w:tcW w:w="7796" w:type="dxa"/>
            <w:gridSpan w:val="3"/>
            <w:vAlign w:val="center"/>
          </w:tcPr>
          <w:p w:rsidR="000E18F6" w:rsidRDefault="000E18F6">
            <w:pPr>
              <w:widowControl/>
              <w:spacing w:line="280" w:lineRule="exact"/>
              <w:jc w:val="left"/>
              <w:rPr>
                <w:rFonts w:ascii="宋体" w:eastAsia="宋体" w:hAnsi="宋体"/>
                <w:szCs w:val="21"/>
              </w:rPr>
            </w:pPr>
          </w:p>
        </w:tc>
      </w:tr>
    </w:tbl>
    <w:p w:rsidR="000E18F6" w:rsidRDefault="000E18F6">
      <w:pPr>
        <w:rPr>
          <w:rFonts w:ascii="宋体" w:eastAsia="宋体" w:hAnsi="宋体"/>
        </w:rPr>
      </w:pPr>
      <w:bookmarkStart w:id="8" w:name="_Toc78374594"/>
      <w:bookmarkEnd w:id="6"/>
      <w:bookmarkEnd w:id="8"/>
    </w:p>
    <w:sectPr w:rsidR="000E18F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1C" w:rsidRDefault="0088081C">
      <w:r>
        <w:separator/>
      </w:r>
    </w:p>
  </w:endnote>
  <w:endnote w:type="continuationSeparator" w:id="0">
    <w:p w:rsidR="0088081C" w:rsidRDefault="0088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95951"/>
    </w:sdtPr>
    <w:sdtEndPr/>
    <w:sdtContent>
      <w:p w:rsidR="006729A0" w:rsidRDefault="006729A0">
        <w:pPr>
          <w:pStyle w:val="a7"/>
          <w:jc w:val="center"/>
        </w:pPr>
        <w:r>
          <w:fldChar w:fldCharType="begin"/>
        </w:r>
        <w:r>
          <w:instrText>PAGE   \* MERGEFORMAT</w:instrText>
        </w:r>
        <w:r>
          <w:fldChar w:fldCharType="separate"/>
        </w:r>
        <w:r w:rsidR="00E13AE9" w:rsidRPr="00E13AE9">
          <w:rPr>
            <w:noProof/>
            <w:lang w:val="zh-CN"/>
          </w:rPr>
          <w:t>2</w:t>
        </w:r>
        <w:r>
          <w:fldChar w:fldCharType="end"/>
        </w:r>
      </w:p>
    </w:sdtContent>
  </w:sdt>
  <w:p w:rsidR="006729A0" w:rsidRDefault="006729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1C" w:rsidRDefault="0088081C">
      <w:r>
        <w:separator/>
      </w:r>
    </w:p>
  </w:footnote>
  <w:footnote w:type="continuationSeparator" w:id="0">
    <w:p w:rsidR="0088081C" w:rsidRDefault="00880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D5A92"/>
    <w:multiLevelType w:val="singleLevel"/>
    <w:tmpl w:val="A7DD5A92"/>
    <w:lvl w:ilvl="0">
      <w:start w:val="3"/>
      <w:numFmt w:val="chineseCounting"/>
      <w:suff w:val="nothing"/>
      <w:lvlText w:val="（%1）"/>
      <w:lvlJc w:val="left"/>
      <w:rPr>
        <w:rFonts w:hint="eastAsia"/>
      </w:rPr>
    </w:lvl>
  </w:abstractNum>
  <w:abstractNum w:abstractNumId="1">
    <w:nsid w:val="0FBA02E1"/>
    <w:multiLevelType w:val="multilevel"/>
    <w:tmpl w:val="0FBA02E1"/>
    <w:lvl w:ilvl="0">
      <w:start w:val="1"/>
      <w:numFmt w:val="decimal"/>
      <w:lvlText w:val="%1."/>
      <w:lvlJc w:val="left"/>
      <w:pPr>
        <w:ind w:left="562"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nsid w:val="2F00000A"/>
    <w:multiLevelType w:val="multilevel"/>
    <w:tmpl w:val="2F00000A"/>
    <w:lvl w:ilvl="0">
      <w:start w:val="1"/>
      <w:numFmt w:val="decimal"/>
      <w:suff w:val="nothing"/>
      <w:lvlText w:val="%1．"/>
      <w:lvlJc w:val="left"/>
      <w:pPr>
        <w:ind w:firstLine="400"/>
        <w:jc w:val="both"/>
      </w:pPr>
      <w:rPr>
        <w:w w:val="100"/>
        <w:sz w:val="20"/>
        <w:szCs w:val="20"/>
        <w:shd w:val="clear" w:color="auto" w:fill="auto"/>
      </w:rPr>
    </w:lvl>
    <w:lvl w:ilvl="1">
      <w:start w:val="1"/>
      <w:numFmt w:val="decimal"/>
      <w:suff w:val="nothing"/>
      <w:lvlText w:val="%1．"/>
      <w:lvlJc w:val="left"/>
      <w:pPr>
        <w:ind w:firstLine="400"/>
        <w:jc w:val="both"/>
      </w:pPr>
      <w:rPr>
        <w:w w:val="100"/>
        <w:sz w:val="20"/>
        <w:szCs w:val="20"/>
        <w:shd w:val="clear" w:color="auto" w:fill="auto"/>
      </w:rPr>
    </w:lvl>
    <w:lvl w:ilvl="2">
      <w:start w:val="1"/>
      <w:numFmt w:val="decimal"/>
      <w:suff w:val="nothing"/>
      <w:lvlText w:val="%1．"/>
      <w:lvlJc w:val="left"/>
      <w:pPr>
        <w:ind w:firstLine="400"/>
        <w:jc w:val="both"/>
      </w:pPr>
      <w:rPr>
        <w:w w:val="100"/>
        <w:sz w:val="20"/>
        <w:szCs w:val="20"/>
        <w:shd w:val="clear" w:color="auto" w:fill="auto"/>
      </w:rPr>
    </w:lvl>
    <w:lvl w:ilvl="3">
      <w:start w:val="1"/>
      <w:numFmt w:val="decimal"/>
      <w:suff w:val="nothing"/>
      <w:lvlText w:val="%1．"/>
      <w:lvlJc w:val="left"/>
      <w:pPr>
        <w:ind w:firstLine="400"/>
        <w:jc w:val="both"/>
      </w:pPr>
      <w:rPr>
        <w:w w:val="100"/>
        <w:sz w:val="20"/>
        <w:szCs w:val="20"/>
        <w:shd w:val="clear" w:color="auto" w:fill="auto"/>
      </w:rPr>
    </w:lvl>
    <w:lvl w:ilvl="4">
      <w:start w:val="1"/>
      <w:numFmt w:val="decimal"/>
      <w:suff w:val="nothing"/>
      <w:lvlText w:val="%1．"/>
      <w:lvlJc w:val="left"/>
      <w:pPr>
        <w:ind w:firstLine="400"/>
        <w:jc w:val="both"/>
      </w:pPr>
      <w:rPr>
        <w:w w:val="100"/>
        <w:sz w:val="20"/>
        <w:szCs w:val="20"/>
        <w:shd w:val="clear" w:color="auto" w:fill="auto"/>
      </w:rPr>
    </w:lvl>
    <w:lvl w:ilvl="5">
      <w:start w:val="1"/>
      <w:numFmt w:val="decimal"/>
      <w:suff w:val="nothing"/>
      <w:lvlText w:val="%1．"/>
      <w:lvlJc w:val="left"/>
      <w:pPr>
        <w:ind w:firstLine="400"/>
        <w:jc w:val="both"/>
      </w:pPr>
      <w:rPr>
        <w:w w:val="100"/>
        <w:sz w:val="20"/>
        <w:szCs w:val="20"/>
        <w:shd w:val="clear" w:color="auto" w:fill="auto"/>
      </w:rPr>
    </w:lvl>
    <w:lvl w:ilvl="6">
      <w:start w:val="1"/>
      <w:numFmt w:val="decimal"/>
      <w:suff w:val="nothing"/>
      <w:lvlText w:val="%1．"/>
      <w:lvlJc w:val="left"/>
      <w:pPr>
        <w:ind w:firstLine="400"/>
        <w:jc w:val="both"/>
      </w:pPr>
      <w:rPr>
        <w:w w:val="100"/>
        <w:sz w:val="20"/>
        <w:szCs w:val="20"/>
        <w:shd w:val="clear" w:color="auto" w:fill="auto"/>
      </w:rPr>
    </w:lvl>
    <w:lvl w:ilvl="7">
      <w:start w:val="1"/>
      <w:numFmt w:val="decimal"/>
      <w:suff w:val="nothing"/>
      <w:lvlText w:val="%1．"/>
      <w:lvlJc w:val="left"/>
      <w:pPr>
        <w:ind w:firstLine="400"/>
        <w:jc w:val="both"/>
      </w:pPr>
      <w:rPr>
        <w:w w:val="100"/>
        <w:sz w:val="20"/>
        <w:szCs w:val="20"/>
        <w:shd w:val="clear" w:color="auto" w:fill="auto"/>
      </w:rPr>
    </w:lvl>
    <w:lvl w:ilvl="8">
      <w:start w:val="1"/>
      <w:numFmt w:val="decimal"/>
      <w:suff w:val="nothing"/>
      <w:lvlText w:val="%1．"/>
      <w:lvlJc w:val="left"/>
      <w:pPr>
        <w:ind w:firstLine="400"/>
        <w:jc w:val="both"/>
      </w:pPr>
      <w:rPr>
        <w:w w:val="100"/>
        <w:sz w:val="20"/>
        <w:szCs w:val="20"/>
        <w:shd w:val="clear" w:color="auto" w:fill="auto"/>
      </w:rPr>
    </w:lvl>
  </w:abstractNum>
  <w:abstractNum w:abstractNumId="3">
    <w:nsid w:val="3BC70834"/>
    <w:multiLevelType w:val="multilevel"/>
    <w:tmpl w:val="3BC708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FE36F1A"/>
    <w:multiLevelType w:val="multilevel"/>
    <w:tmpl w:val="4FE36F1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6A6D94C"/>
    <w:multiLevelType w:val="multilevel"/>
    <w:tmpl w:val="56A6D94C"/>
    <w:lvl w:ilvl="0">
      <w:start w:val="1"/>
      <w:numFmt w:val="decimal"/>
      <w:lvlText w:val="（%1）"/>
      <w:lvlJc w:val="left"/>
      <w:pPr>
        <w:tabs>
          <w:tab w:val="left" w:pos="1140"/>
        </w:tabs>
        <w:ind w:left="114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3A"/>
    <w:rsid w:val="00022E3A"/>
    <w:rsid w:val="00072229"/>
    <w:rsid w:val="000902FA"/>
    <w:rsid w:val="000D5B2D"/>
    <w:rsid w:val="000E18F6"/>
    <w:rsid w:val="000E7362"/>
    <w:rsid w:val="0011481F"/>
    <w:rsid w:val="00185979"/>
    <w:rsid w:val="001A5C51"/>
    <w:rsid w:val="00222647"/>
    <w:rsid w:val="002C1A6E"/>
    <w:rsid w:val="002F62D9"/>
    <w:rsid w:val="00320FAB"/>
    <w:rsid w:val="003436FF"/>
    <w:rsid w:val="003549C6"/>
    <w:rsid w:val="00396A4E"/>
    <w:rsid w:val="003E3AB7"/>
    <w:rsid w:val="003F277C"/>
    <w:rsid w:val="00406613"/>
    <w:rsid w:val="00434508"/>
    <w:rsid w:val="00436F9C"/>
    <w:rsid w:val="00493116"/>
    <w:rsid w:val="00493BE6"/>
    <w:rsid w:val="004C5A28"/>
    <w:rsid w:val="00584E11"/>
    <w:rsid w:val="005B3F3F"/>
    <w:rsid w:val="005C3154"/>
    <w:rsid w:val="005C67A9"/>
    <w:rsid w:val="005F452C"/>
    <w:rsid w:val="00603AAF"/>
    <w:rsid w:val="00670D8A"/>
    <w:rsid w:val="006729A0"/>
    <w:rsid w:val="006A3C57"/>
    <w:rsid w:val="006B30E1"/>
    <w:rsid w:val="006D6EDB"/>
    <w:rsid w:val="0073789A"/>
    <w:rsid w:val="007A625F"/>
    <w:rsid w:val="007E3506"/>
    <w:rsid w:val="007F0550"/>
    <w:rsid w:val="0080633D"/>
    <w:rsid w:val="008325B7"/>
    <w:rsid w:val="0088081C"/>
    <w:rsid w:val="009D0CF0"/>
    <w:rsid w:val="00A177D4"/>
    <w:rsid w:val="00A5344B"/>
    <w:rsid w:val="00A71D7E"/>
    <w:rsid w:val="00AB7F0D"/>
    <w:rsid w:val="00AE18C9"/>
    <w:rsid w:val="00B64B87"/>
    <w:rsid w:val="00BA6101"/>
    <w:rsid w:val="00BB1924"/>
    <w:rsid w:val="00BE0BEB"/>
    <w:rsid w:val="00CC68C0"/>
    <w:rsid w:val="00CF1DD5"/>
    <w:rsid w:val="00D12022"/>
    <w:rsid w:val="00DA0958"/>
    <w:rsid w:val="00DD27E6"/>
    <w:rsid w:val="00E13AE9"/>
    <w:rsid w:val="00E1772D"/>
    <w:rsid w:val="00E3332A"/>
    <w:rsid w:val="00E41F9E"/>
    <w:rsid w:val="00E443B6"/>
    <w:rsid w:val="00E523E4"/>
    <w:rsid w:val="00EA0E93"/>
    <w:rsid w:val="00ED3D26"/>
    <w:rsid w:val="00F9566F"/>
    <w:rsid w:val="00FF05DF"/>
    <w:rsid w:val="013D5EB7"/>
    <w:rsid w:val="015A11E4"/>
    <w:rsid w:val="024E32D7"/>
    <w:rsid w:val="0284029D"/>
    <w:rsid w:val="036F0448"/>
    <w:rsid w:val="03DF5F4B"/>
    <w:rsid w:val="03E57D24"/>
    <w:rsid w:val="0460138D"/>
    <w:rsid w:val="05E469CD"/>
    <w:rsid w:val="06515C75"/>
    <w:rsid w:val="06AA6789"/>
    <w:rsid w:val="07213461"/>
    <w:rsid w:val="07E80C2F"/>
    <w:rsid w:val="093A77D9"/>
    <w:rsid w:val="0AEB362C"/>
    <w:rsid w:val="0B4A5BAD"/>
    <w:rsid w:val="0D4A296F"/>
    <w:rsid w:val="0DD137BD"/>
    <w:rsid w:val="0E460DE5"/>
    <w:rsid w:val="0F050F07"/>
    <w:rsid w:val="0F825955"/>
    <w:rsid w:val="103153D1"/>
    <w:rsid w:val="10435A4A"/>
    <w:rsid w:val="111B7BE6"/>
    <w:rsid w:val="1167270B"/>
    <w:rsid w:val="11FF12D3"/>
    <w:rsid w:val="13562BB7"/>
    <w:rsid w:val="146C6B3C"/>
    <w:rsid w:val="14A8110A"/>
    <w:rsid w:val="14E95289"/>
    <w:rsid w:val="156A0335"/>
    <w:rsid w:val="15C242ED"/>
    <w:rsid w:val="17327F66"/>
    <w:rsid w:val="17762204"/>
    <w:rsid w:val="17ED7AF6"/>
    <w:rsid w:val="18C330B6"/>
    <w:rsid w:val="18E73658"/>
    <w:rsid w:val="19D71558"/>
    <w:rsid w:val="1A9C01E4"/>
    <w:rsid w:val="1AC4560D"/>
    <w:rsid w:val="1AE451EE"/>
    <w:rsid w:val="1B9504E2"/>
    <w:rsid w:val="1C4D316F"/>
    <w:rsid w:val="1D3245F6"/>
    <w:rsid w:val="1DC961AA"/>
    <w:rsid w:val="1EFA51A9"/>
    <w:rsid w:val="1F3A5931"/>
    <w:rsid w:val="232729DE"/>
    <w:rsid w:val="25950D81"/>
    <w:rsid w:val="2A2C12AC"/>
    <w:rsid w:val="2AED2864"/>
    <w:rsid w:val="2B6A44E9"/>
    <w:rsid w:val="2C1F34E5"/>
    <w:rsid w:val="2DFB518D"/>
    <w:rsid w:val="2F733B0B"/>
    <w:rsid w:val="2FB67FBA"/>
    <w:rsid w:val="30212662"/>
    <w:rsid w:val="3073327C"/>
    <w:rsid w:val="30A54D14"/>
    <w:rsid w:val="30B96BB9"/>
    <w:rsid w:val="3132280F"/>
    <w:rsid w:val="329334FF"/>
    <w:rsid w:val="34E71970"/>
    <w:rsid w:val="34F01E96"/>
    <w:rsid w:val="369545E0"/>
    <w:rsid w:val="3B113973"/>
    <w:rsid w:val="3B1255EF"/>
    <w:rsid w:val="3BD6649C"/>
    <w:rsid w:val="3D8520F3"/>
    <w:rsid w:val="3F9428B3"/>
    <w:rsid w:val="41A26222"/>
    <w:rsid w:val="41D17FC0"/>
    <w:rsid w:val="42C13F0C"/>
    <w:rsid w:val="4308321C"/>
    <w:rsid w:val="434554F7"/>
    <w:rsid w:val="4394660E"/>
    <w:rsid w:val="460500FA"/>
    <w:rsid w:val="46A65AC4"/>
    <w:rsid w:val="48FE5E17"/>
    <w:rsid w:val="49EC68C9"/>
    <w:rsid w:val="4BC914A4"/>
    <w:rsid w:val="4D2F4982"/>
    <w:rsid w:val="4D461ADD"/>
    <w:rsid w:val="4DC720F8"/>
    <w:rsid w:val="4E4A44C7"/>
    <w:rsid w:val="4EFB232B"/>
    <w:rsid w:val="4FE913AF"/>
    <w:rsid w:val="50400CA7"/>
    <w:rsid w:val="5246118C"/>
    <w:rsid w:val="53102A9B"/>
    <w:rsid w:val="537A23C7"/>
    <w:rsid w:val="56AD497C"/>
    <w:rsid w:val="57D76197"/>
    <w:rsid w:val="58D03255"/>
    <w:rsid w:val="593A1F24"/>
    <w:rsid w:val="5A9923B7"/>
    <w:rsid w:val="5AEB180E"/>
    <w:rsid w:val="5CBF079A"/>
    <w:rsid w:val="5CD27F4F"/>
    <w:rsid w:val="5CDB2237"/>
    <w:rsid w:val="5D610450"/>
    <w:rsid w:val="5D681A19"/>
    <w:rsid w:val="5EDB46AF"/>
    <w:rsid w:val="5FAA4A8A"/>
    <w:rsid w:val="60BE43A5"/>
    <w:rsid w:val="60E0673A"/>
    <w:rsid w:val="615A1A58"/>
    <w:rsid w:val="623D70EC"/>
    <w:rsid w:val="63FF500E"/>
    <w:rsid w:val="6649603D"/>
    <w:rsid w:val="66C07EE9"/>
    <w:rsid w:val="671524C5"/>
    <w:rsid w:val="6A1769F0"/>
    <w:rsid w:val="6AD45228"/>
    <w:rsid w:val="6B2F5590"/>
    <w:rsid w:val="6BC56B2B"/>
    <w:rsid w:val="6BDC2587"/>
    <w:rsid w:val="6CDA1C86"/>
    <w:rsid w:val="6EA537F7"/>
    <w:rsid w:val="6F155D34"/>
    <w:rsid w:val="6F876355"/>
    <w:rsid w:val="7019311A"/>
    <w:rsid w:val="72185C23"/>
    <w:rsid w:val="74FF3845"/>
    <w:rsid w:val="7686125E"/>
    <w:rsid w:val="76A0118D"/>
    <w:rsid w:val="77C62CBD"/>
    <w:rsid w:val="7A7B3598"/>
    <w:rsid w:val="7BD00676"/>
    <w:rsid w:val="7DCA0C21"/>
    <w:rsid w:val="7DCF2ED1"/>
    <w:rsid w:val="7E052B3E"/>
    <w:rsid w:val="7E37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annotation subject" w:qFormat="1"/>
    <w:lsdException w:name="Balloon Text"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line="360" w:lineRule="auto"/>
      <w:outlineLvl w:val="1"/>
    </w:pPr>
    <w:rPr>
      <w:rFonts w:ascii="宋体" w:eastAsia="宋体" w:hAnsi="宋体" w:cstheme="minorEastAsia"/>
      <w:b/>
      <w:bCs/>
      <w:szCs w:val="21"/>
    </w:rPr>
  </w:style>
  <w:style w:type="paragraph" w:styleId="3">
    <w:name w:val="heading 3"/>
    <w:basedOn w:val="a"/>
    <w:next w:val="a"/>
    <w:link w:val="3Char"/>
    <w:uiPriority w:val="9"/>
    <w:unhideWhenUsed/>
    <w:qFormat/>
    <w:pPr>
      <w:spacing w:afterLines="50" w:after="120"/>
      <w:ind w:firstLineChars="200" w:firstLine="422"/>
      <w:outlineLvl w:val="2"/>
    </w:pPr>
    <w:rPr>
      <w:rFonts w:ascii="宋体" w:eastAsia="宋体" w:hAnsi="宋体" w:cs="宋体"/>
      <w:b/>
      <w:bCs/>
      <w:kern w:val="44"/>
      <w:szCs w:val="21"/>
    </w:rPr>
  </w:style>
  <w:style w:type="paragraph" w:styleId="4">
    <w:name w:val="heading 4"/>
    <w:basedOn w:val="a"/>
    <w:next w:val="a"/>
    <w:link w:val="4Char"/>
    <w:qFormat/>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eastAsia="宋体"/>
    </w:rPr>
  </w:style>
  <w:style w:type="paragraph" w:styleId="a4">
    <w:name w:val="annotation text"/>
    <w:basedOn w:val="a"/>
    <w:link w:val="Char"/>
    <w:uiPriority w:val="99"/>
    <w:qFormat/>
    <w:pPr>
      <w:jc w:val="left"/>
    </w:pPr>
  </w:style>
  <w:style w:type="paragraph" w:styleId="a5">
    <w:name w:val="Body Text"/>
    <w:basedOn w:val="a"/>
    <w:link w:val="Char0"/>
    <w:uiPriority w:val="99"/>
    <w:semiHidden/>
    <w:unhideWhenUsed/>
    <w:qFormat/>
    <w:pPr>
      <w:spacing w:after="120"/>
    </w:pPr>
  </w:style>
  <w:style w:type="paragraph" w:styleId="30">
    <w:name w:val="toc 3"/>
    <w:basedOn w:val="a"/>
    <w:next w:val="a"/>
    <w:uiPriority w:val="39"/>
    <w:unhideWhenUsed/>
    <w:qFormat/>
    <w:pPr>
      <w:widowControl/>
      <w:spacing w:after="100" w:line="259" w:lineRule="auto"/>
      <w:ind w:left="440"/>
      <w:jc w:val="left"/>
    </w:pPr>
    <w:rPr>
      <w:rFonts w:cs="Times New Roman"/>
      <w:kern w:val="0"/>
      <w:sz w:val="22"/>
    </w:rPr>
  </w:style>
  <w:style w:type="paragraph" w:styleId="20">
    <w:name w:val="Body Text Indent 2"/>
    <w:basedOn w:val="a"/>
    <w:qFormat/>
    <w:pPr>
      <w:ind w:firstLineChars="200" w:firstLine="560"/>
    </w:pPr>
    <w:rPr>
      <w:sz w:val="28"/>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widowControl/>
      <w:spacing w:after="100" w:line="259" w:lineRule="auto"/>
      <w:jc w:val="left"/>
    </w:pPr>
    <w:rPr>
      <w:rFonts w:cs="Times New Roman"/>
      <w:kern w:val="0"/>
      <w:sz w:val="22"/>
    </w:rPr>
  </w:style>
  <w:style w:type="paragraph" w:styleId="21">
    <w:name w:val="toc 2"/>
    <w:basedOn w:val="a"/>
    <w:next w:val="a"/>
    <w:uiPriority w:val="39"/>
    <w:unhideWhenUsed/>
    <w:qFormat/>
    <w:pPr>
      <w:widowControl/>
      <w:spacing w:after="100" w:line="259" w:lineRule="auto"/>
      <w:ind w:left="220"/>
      <w:jc w:val="left"/>
    </w:pPr>
    <w:rPr>
      <w:rFonts w:cs="Times New Roman"/>
      <w:kern w:val="0"/>
      <w:sz w:val="22"/>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3"/>
    <w:uiPriority w:val="99"/>
    <w:semiHidden/>
    <w:unhideWhenUsed/>
    <w:qFormat/>
    <w:rPr>
      <w:b/>
      <w:bCs/>
    </w:rPr>
  </w:style>
  <w:style w:type="paragraph" w:styleId="ab">
    <w:name w:val="Body Text First Indent"/>
    <w:basedOn w:val="a5"/>
    <w:link w:val="Char4"/>
    <w:uiPriority w:val="99"/>
    <w:qFormat/>
    <w:pPr>
      <w:spacing w:line="320" w:lineRule="exact"/>
      <w:ind w:firstLineChars="200" w:firstLine="200"/>
    </w:pPr>
    <w:rPr>
      <w:rFonts w:ascii="Calibri" w:eastAsia="宋体" w:hAnsi="Calibri" w:cs="黑体"/>
      <w:kern w:val="0"/>
      <w:sz w:val="24"/>
      <w:szCs w:val="20"/>
    </w:rPr>
  </w:style>
  <w:style w:type="character" w:styleId="ac">
    <w:name w:val="page number"/>
    <w:basedOn w:val="a0"/>
    <w:qFormat/>
  </w:style>
  <w:style w:type="character" w:styleId="ad">
    <w:name w:val="Hyperlink"/>
    <w:basedOn w:val="a0"/>
    <w:uiPriority w:val="99"/>
    <w:unhideWhenUsed/>
    <w:qFormat/>
    <w:rPr>
      <w:color w:val="0563C1" w:themeColor="hyperlink"/>
      <w:u w:val="single"/>
    </w:rPr>
  </w:style>
  <w:style w:type="character" w:styleId="ae">
    <w:name w:val="annotation reference"/>
    <w:qFormat/>
    <w:rPr>
      <w:sz w:val="21"/>
      <w:szCs w:val="21"/>
    </w:rPr>
  </w:style>
  <w:style w:type="character" w:customStyle="1" w:styleId="22">
    <w:name w:val="标题 2 字符"/>
    <w:basedOn w:val="a0"/>
    <w:uiPriority w:val="9"/>
    <w:semiHidden/>
    <w:qFormat/>
    <w:rPr>
      <w:rFonts w:asciiTheme="majorHAnsi" w:eastAsiaTheme="majorEastAsia" w:hAnsiTheme="majorHAnsi" w:cstheme="majorBidi"/>
      <w:b/>
      <w:bCs/>
      <w:sz w:val="32"/>
      <w:szCs w:val="32"/>
    </w:rPr>
  </w:style>
  <w:style w:type="character" w:customStyle="1" w:styleId="4Char">
    <w:name w:val="标题 4 Char"/>
    <w:basedOn w:val="a0"/>
    <w:link w:val="4"/>
    <w:qFormat/>
    <w:rPr>
      <w:rFonts w:asciiTheme="minorHAnsi" w:eastAsiaTheme="minorEastAsia" w:hAnsiTheme="minorHAnsi" w:cstheme="minorBidi"/>
      <w:b/>
      <w:kern w:val="2"/>
      <w:sz w:val="21"/>
      <w:szCs w:val="22"/>
    </w:rPr>
  </w:style>
  <w:style w:type="character" w:customStyle="1" w:styleId="Char">
    <w:name w:val="批注文字 Char"/>
    <w:basedOn w:val="a0"/>
    <w:link w:val="a4"/>
    <w:uiPriority w:val="99"/>
    <w:qFormat/>
  </w:style>
  <w:style w:type="character" w:customStyle="1" w:styleId="Char0">
    <w:name w:val="正文文本 Char"/>
    <w:basedOn w:val="a0"/>
    <w:link w:val="a5"/>
    <w:uiPriority w:val="99"/>
    <w:semiHidden/>
    <w:qFormat/>
  </w:style>
  <w:style w:type="character" w:customStyle="1" w:styleId="Char4">
    <w:name w:val="正文首行缩进 Char"/>
    <w:basedOn w:val="Char0"/>
    <w:link w:val="ab"/>
    <w:uiPriority w:val="99"/>
    <w:qFormat/>
    <w:rPr>
      <w:rFonts w:ascii="Calibri" w:eastAsia="宋体" w:hAnsi="Calibri" w:cs="黑体"/>
      <w:kern w:val="0"/>
      <w:sz w:val="24"/>
      <w:szCs w:val="20"/>
    </w:rPr>
  </w:style>
  <w:style w:type="paragraph" w:styleId="af">
    <w:name w:val="List Paragraph"/>
    <w:basedOn w:val="a"/>
    <w:uiPriority w:val="34"/>
    <w:qFormat/>
    <w:pPr>
      <w:ind w:firstLineChars="200" w:firstLine="420"/>
    </w:pPr>
  </w:style>
  <w:style w:type="character" w:customStyle="1" w:styleId="2Char">
    <w:name w:val="标题 2 Char"/>
    <w:basedOn w:val="a0"/>
    <w:link w:val="2"/>
    <w:qFormat/>
    <w:rPr>
      <w:rFonts w:ascii="宋体" w:hAnsi="宋体" w:cstheme="minorEastAsia"/>
      <w:b/>
      <w:bCs/>
      <w:kern w:val="2"/>
      <w:sz w:val="21"/>
      <w:szCs w:val="21"/>
    </w:rPr>
  </w:style>
  <w:style w:type="character" w:customStyle="1" w:styleId="1Char">
    <w:name w:val="标题 1 Char"/>
    <w:basedOn w:val="a0"/>
    <w:link w:val="1"/>
    <w:uiPriority w:val="9"/>
    <w:qFormat/>
    <w:rPr>
      <w:b/>
      <w:bCs/>
      <w:kern w:val="44"/>
      <w:sz w:val="44"/>
      <w:szCs w:val="4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f0">
    <w:name w:val="No Spacing"/>
    <w:link w:val="Char5"/>
    <w:uiPriority w:val="99"/>
    <w:qFormat/>
    <w:pPr>
      <w:widowControl w:val="0"/>
      <w:jc w:val="both"/>
    </w:pPr>
    <w:rPr>
      <w:rFonts w:ascii="Calibri" w:eastAsia="宋体" w:hAnsi="Calibri" w:cs="Calibri"/>
      <w:kern w:val="2"/>
      <w:sz w:val="21"/>
      <w:szCs w:val="21"/>
    </w:rPr>
  </w:style>
  <w:style w:type="character" w:customStyle="1" w:styleId="Char5">
    <w:name w:val="无间隔 Char"/>
    <w:link w:val="af0"/>
    <w:uiPriority w:val="99"/>
    <w:qFormat/>
    <w:locked/>
    <w:rPr>
      <w:rFonts w:ascii="Calibri" w:hAnsi="Calibri" w:cs="Calibri"/>
      <w:kern w:val="2"/>
      <w:sz w:val="21"/>
      <w:szCs w:val="21"/>
    </w:rPr>
  </w:style>
  <w:style w:type="character" w:customStyle="1" w:styleId="3Char">
    <w:name w:val="标题 3 Char"/>
    <w:basedOn w:val="a0"/>
    <w:link w:val="3"/>
    <w:uiPriority w:val="9"/>
    <w:qFormat/>
    <w:rPr>
      <w:rFonts w:ascii="宋体" w:hAnsi="宋体" w:cs="宋体"/>
      <w:b/>
      <w:bCs/>
      <w:kern w:val="44"/>
      <w:sz w:val="21"/>
      <w:szCs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2">
    <w:name w:val="页脚 Char"/>
    <w:basedOn w:val="a0"/>
    <w:link w:val="a7"/>
    <w:uiPriority w:val="99"/>
    <w:qFormat/>
    <w:rPr>
      <w:rFonts w:asciiTheme="minorHAnsi" w:eastAsiaTheme="minorEastAsia" w:hAnsiTheme="minorHAnsi" w:cstheme="minorBidi"/>
      <w:kern w:val="2"/>
      <w:sz w:val="18"/>
      <w:szCs w:val="18"/>
    </w:rPr>
  </w:style>
  <w:style w:type="character" w:customStyle="1" w:styleId="Char3">
    <w:name w:val="批注主题 Char"/>
    <w:basedOn w:val="Char"/>
    <w:link w:val="aa"/>
    <w:uiPriority w:val="99"/>
    <w:semiHidden/>
    <w:qFormat/>
    <w:rPr>
      <w:rFonts w:asciiTheme="minorHAnsi" w:eastAsiaTheme="minorEastAsia" w:hAnsiTheme="minorHAnsi" w:cstheme="minorBidi"/>
      <w:b/>
      <w:bCs/>
      <w:kern w:val="2"/>
      <w:sz w:val="21"/>
      <w:szCs w:val="22"/>
    </w:rPr>
  </w:style>
  <w:style w:type="character" w:customStyle="1" w:styleId="Char1">
    <w:name w:val="批注框文本 Char"/>
    <w:basedOn w:val="a0"/>
    <w:link w:val="a6"/>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Body Text First Indent" w:semiHidden="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HTML Preformatted" w:semiHidden="0" w:uiPriority="0" w:unhideWhenUsed="0" w:qFormat="1"/>
    <w:lsdException w:name="Normal Table" w:qFormat="1"/>
    <w:lsdException w:name="annotation subject" w:qFormat="1"/>
    <w:lsdException w:name="Balloon Text"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line="360" w:lineRule="auto"/>
      <w:outlineLvl w:val="1"/>
    </w:pPr>
    <w:rPr>
      <w:rFonts w:ascii="宋体" w:eastAsia="宋体" w:hAnsi="宋体" w:cstheme="minorEastAsia"/>
      <w:b/>
      <w:bCs/>
      <w:szCs w:val="21"/>
    </w:rPr>
  </w:style>
  <w:style w:type="paragraph" w:styleId="3">
    <w:name w:val="heading 3"/>
    <w:basedOn w:val="a"/>
    <w:next w:val="a"/>
    <w:link w:val="3Char"/>
    <w:uiPriority w:val="9"/>
    <w:unhideWhenUsed/>
    <w:qFormat/>
    <w:pPr>
      <w:spacing w:afterLines="50" w:after="120"/>
      <w:ind w:firstLineChars="200" w:firstLine="422"/>
      <w:outlineLvl w:val="2"/>
    </w:pPr>
    <w:rPr>
      <w:rFonts w:ascii="宋体" w:eastAsia="宋体" w:hAnsi="宋体" w:cs="宋体"/>
      <w:b/>
      <w:bCs/>
      <w:kern w:val="44"/>
      <w:szCs w:val="21"/>
    </w:rPr>
  </w:style>
  <w:style w:type="paragraph" w:styleId="4">
    <w:name w:val="heading 4"/>
    <w:basedOn w:val="a"/>
    <w:next w:val="a"/>
    <w:link w:val="4Char"/>
    <w:qFormat/>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eastAsia="宋体"/>
    </w:rPr>
  </w:style>
  <w:style w:type="paragraph" w:styleId="a4">
    <w:name w:val="annotation text"/>
    <w:basedOn w:val="a"/>
    <w:link w:val="Char"/>
    <w:uiPriority w:val="99"/>
    <w:qFormat/>
    <w:pPr>
      <w:jc w:val="left"/>
    </w:pPr>
  </w:style>
  <w:style w:type="paragraph" w:styleId="a5">
    <w:name w:val="Body Text"/>
    <w:basedOn w:val="a"/>
    <w:link w:val="Char0"/>
    <w:uiPriority w:val="99"/>
    <w:semiHidden/>
    <w:unhideWhenUsed/>
    <w:qFormat/>
    <w:pPr>
      <w:spacing w:after="120"/>
    </w:pPr>
  </w:style>
  <w:style w:type="paragraph" w:styleId="30">
    <w:name w:val="toc 3"/>
    <w:basedOn w:val="a"/>
    <w:next w:val="a"/>
    <w:uiPriority w:val="39"/>
    <w:unhideWhenUsed/>
    <w:qFormat/>
    <w:pPr>
      <w:widowControl/>
      <w:spacing w:after="100" w:line="259" w:lineRule="auto"/>
      <w:ind w:left="440"/>
      <w:jc w:val="left"/>
    </w:pPr>
    <w:rPr>
      <w:rFonts w:cs="Times New Roman"/>
      <w:kern w:val="0"/>
      <w:sz w:val="22"/>
    </w:rPr>
  </w:style>
  <w:style w:type="paragraph" w:styleId="20">
    <w:name w:val="Body Text Indent 2"/>
    <w:basedOn w:val="a"/>
    <w:qFormat/>
    <w:pPr>
      <w:ind w:firstLineChars="200" w:firstLine="560"/>
    </w:pPr>
    <w:rPr>
      <w:sz w:val="28"/>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widowControl/>
      <w:spacing w:after="100" w:line="259" w:lineRule="auto"/>
      <w:jc w:val="left"/>
    </w:pPr>
    <w:rPr>
      <w:rFonts w:cs="Times New Roman"/>
      <w:kern w:val="0"/>
      <w:sz w:val="22"/>
    </w:rPr>
  </w:style>
  <w:style w:type="paragraph" w:styleId="21">
    <w:name w:val="toc 2"/>
    <w:basedOn w:val="a"/>
    <w:next w:val="a"/>
    <w:uiPriority w:val="39"/>
    <w:unhideWhenUsed/>
    <w:qFormat/>
    <w:pPr>
      <w:widowControl/>
      <w:spacing w:after="100" w:line="259" w:lineRule="auto"/>
      <w:ind w:left="220"/>
      <w:jc w:val="left"/>
    </w:pPr>
    <w:rPr>
      <w:rFonts w:cs="Times New Roman"/>
      <w:kern w:val="0"/>
      <w:sz w:val="22"/>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4"/>
    <w:next w:val="a4"/>
    <w:link w:val="Char3"/>
    <w:uiPriority w:val="99"/>
    <w:semiHidden/>
    <w:unhideWhenUsed/>
    <w:qFormat/>
    <w:rPr>
      <w:b/>
      <w:bCs/>
    </w:rPr>
  </w:style>
  <w:style w:type="paragraph" w:styleId="ab">
    <w:name w:val="Body Text First Indent"/>
    <w:basedOn w:val="a5"/>
    <w:link w:val="Char4"/>
    <w:uiPriority w:val="99"/>
    <w:qFormat/>
    <w:pPr>
      <w:spacing w:line="320" w:lineRule="exact"/>
      <w:ind w:firstLineChars="200" w:firstLine="200"/>
    </w:pPr>
    <w:rPr>
      <w:rFonts w:ascii="Calibri" w:eastAsia="宋体" w:hAnsi="Calibri" w:cs="黑体"/>
      <w:kern w:val="0"/>
      <w:sz w:val="24"/>
      <w:szCs w:val="20"/>
    </w:rPr>
  </w:style>
  <w:style w:type="character" w:styleId="ac">
    <w:name w:val="page number"/>
    <w:basedOn w:val="a0"/>
    <w:qFormat/>
  </w:style>
  <w:style w:type="character" w:styleId="ad">
    <w:name w:val="Hyperlink"/>
    <w:basedOn w:val="a0"/>
    <w:uiPriority w:val="99"/>
    <w:unhideWhenUsed/>
    <w:qFormat/>
    <w:rPr>
      <w:color w:val="0563C1" w:themeColor="hyperlink"/>
      <w:u w:val="single"/>
    </w:rPr>
  </w:style>
  <w:style w:type="character" w:styleId="ae">
    <w:name w:val="annotation reference"/>
    <w:qFormat/>
    <w:rPr>
      <w:sz w:val="21"/>
      <w:szCs w:val="21"/>
    </w:rPr>
  </w:style>
  <w:style w:type="character" w:customStyle="1" w:styleId="22">
    <w:name w:val="标题 2 字符"/>
    <w:basedOn w:val="a0"/>
    <w:uiPriority w:val="9"/>
    <w:semiHidden/>
    <w:qFormat/>
    <w:rPr>
      <w:rFonts w:asciiTheme="majorHAnsi" w:eastAsiaTheme="majorEastAsia" w:hAnsiTheme="majorHAnsi" w:cstheme="majorBidi"/>
      <w:b/>
      <w:bCs/>
      <w:sz w:val="32"/>
      <w:szCs w:val="32"/>
    </w:rPr>
  </w:style>
  <w:style w:type="character" w:customStyle="1" w:styleId="4Char">
    <w:name w:val="标题 4 Char"/>
    <w:basedOn w:val="a0"/>
    <w:link w:val="4"/>
    <w:qFormat/>
    <w:rPr>
      <w:rFonts w:asciiTheme="minorHAnsi" w:eastAsiaTheme="minorEastAsia" w:hAnsiTheme="minorHAnsi" w:cstheme="minorBidi"/>
      <w:b/>
      <w:kern w:val="2"/>
      <w:sz w:val="21"/>
      <w:szCs w:val="22"/>
    </w:rPr>
  </w:style>
  <w:style w:type="character" w:customStyle="1" w:styleId="Char">
    <w:name w:val="批注文字 Char"/>
    <w:basedOn w:val="a0"/>
    <w:link w:val="a4"/>
    <w:uiPriority w:val="99"/>
    <w:qFormat/>
  </w:style>
  <w:style w:type="character" w:customStyle="1" w:styleId="Char0">
    <w:name w:val="正文文本 Char"/>
    <w:basedOn w:val="a0"/>
    <w:link w:val="a5"/>
    <w:uiPriority w:val="99"/>
    <w:semiHidden/>
    <w:qFormat/>
  </w:style>
  <w:style w:type="character" w:customStyle="1" w:styleId="Char4">
    <w:name w:val="正文首行缩进 Char"/>
    <w:basedOn w:val="Char0"/>
    <w:link w:val="ab"/>
    <w:uiPriority w:val="99"/>
    <w:qFormat/>
    <w:rPr>
      <w:rFonts w:ascii="Calibri" w:eastAsia="宋体" w:hAnsi="Calibri" w:cs="黑体"/>
      <w:kern w:val="0"/>
      <w:sz w:val="24"/>
      <w:szCs w:val="20"/>
    </w:rPr>
  </w:style>
  <w:style w:type="paragraph" w:styleId="af">
    <w:name w:val="List Paragraph"/>
    <w:basedOn w:val="a"/>
    <w:uiPriority w:val="34"/>
    <w:qFormat/>
    <w:pPr>
      <w:ind w:firstLineChars="200" w:firstLine="420"/>
    </w:pPr>
  </w:style>
  <w:style w:type="character" w:customStyle="1" w:styleId="2Char">
    <w:name w:val="标题 2 Char"/>
    <w:basedOn w:val="a0"/>
    <w:link w:val="2"/>
    <w:qFormat/>
    <w:rPr>
      <w:rFonts w:ascii="宋体" w:hAnsi="宋体" w:cstheme="minorEastAsia"/>
      <w:b/>
      <w:bCs/>
      <w:kern w:val="2"/>
      <w:sz w:val="21"/>
      <w:szCs w:val="21"/>
    </w:rPr>
  </w:style>
  <w:style w:type="character" w:customStyle="1" w:styleId="1Char">
    <w:name w:val="标题 1 Char"/>
    <w:basedOn w:val="a0"/>
    <w:link w:val="1"/>
    <w:uiPriority w:val="9"/>
    <w:qFormat/>
    <w:rPr>
      <w:b/>
      <w:bCs/>
      <w:kern w:val="44"/>
      <w:sz w:val="44"/>
      <w:szCs w:val="4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f0">
    <w:name w:val="No Spacing"/>
    <w:link w:val="Char5"/>
    <w:uiPriority w:val="99"/>
    <w:qFormat/>
    <w:pPr>
      <w:widowControl w:val="0"/>
      <w:jc w:val="both"/>
    </w:pPr>
    <w:rPr>
      <w:rFonts w:ascii="Calibri" w:eastAsia="宋体" w:hAnsi="Calibri" w:cs="Calibri"/>
      <w:kern w:val="2"/>
      <w:sz w:val="21"/>
      <w:szCs w:val="21"/>
    </w:rPr>
  </w:style>
  <w:style w:type="character" w:customStyle="1" w:styleId="Char5">
    <w:name w:val="无间隔 Char"/>
    <w:link w:val="af0"/>
    <w:uiPriority w:val="99"/>
    <w:qFormat/>
    <w:locked/>
    <w:rPr>
      <w:rFonts w:ascii="Calibri" w:hAnsi="Calibri" w:cs="Calibri"/>
      <w:kern w:val="2"/>
      <w:sz w:val="21"/>
      <w:szCs w:val="21"/>
    </w:rPr>
  </w:style>
  <w:style w:type="character" w:customStyle="1" w:styleId="3Char">
    <w:name w:val="标题 3 Char"/>
    <w:basedOn w:val="a0"/>
    <w:link w:val="3"/>
    <w:uiPriority w:val="9"/>
    <w:qFormat/>
    <w:rPr>
      <w:rFonts w:ascii="宋体" w:hAnsi="宋体" w:cs="宋体"/>
      <w:b/>
      <w:bCs/>
      <w:kern w:val="44"/>
      <w:sz w:val="21"/>
      <w:szCs w:val="21"/>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2">
    <w:name w:val="页脚 Char"/>
    <w:basedOn w:val="a0"/>
    <w:link w:val="a7"/>
    <w:uiPriority w:val="99"/>
    <w:qFormat/>
    <w:rPr>
      <w:rFonts w:asciiTheme="minorHAnsi" w:eastAsiaTheme="minorEastAsia" w:hAnsiTheme="minorHAnsi" w:cstheme="minorBidi"/>
      <w:kern w:val="2"/>
      <w:sz w:val="18"/>
      <w:szCs w:val="18"/>
    </w:rPr>
  </w:style>
  <w:style w:type="character" w:customStyle="1" w:styleId="Char3">
    <w:name w:val="批注主题 Char"/>
    <w:basedOn w:val="Char"/>
    <w:link w:val="aa"/>
    <w:uiPriority w:val="99"/>
    <w:semiHidden/>
    <w:qFormat/>
    <w:rPr>
      <w:rFonts w:asciiTheme="minorHAnsi" w:eastAsiaTheme="minorEastAsia" w:hAnsiTheme="minorHAnsi" w:cstheme="minorBidi"/>
      <w:b/>
      <w:bCs/>
      <w:kern w:val="2"/>
      <w:sz w:val="21"/>
      <w:szCs w:val="22"/>
    </w:rPr>
  </w:style>
  <w:style w:type="character" w:customStyle="1" w:styleId="Char1">
    <w:name w:val="批注框文本 Char"/>
    <w:basedOn w:val="a0"/>
    <w:link w:val="a6"/>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C8763-53D2-4AAB-BBC1-49C6B35B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160</Words>
  <Characters>915</Characters>
  <Application>Microsoft Office Word</Application>
  <DocSecurity>0</DocSecurity>
  <Lines>7</Lines>
  <Paragraphs>2</Paragraphs>
  <ScaleCrop>false</ScaleCrop>
  <Company>微软中国</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姜攀</cp:lastModifiedBy>
  <cp:revision>27</cp:revision>
  <dcterms:created xsi:type="dcterms:W3CDTF">2022-09-14T03:36:00Z</dcterms:created>
  <dcterms:modified xsi:type="dcterms:W3CDTF">2022-09-14T06:49:00Z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CEE379D219D945EA83DC60B86D17A369</vt:lpwstr>
  </property>
</Properties>
</file>