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jc w:val="center"/>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fill="FFFFFF"/>
        </w:rPr>
        <w:t>省教育厅关于做好2025年湖北省普通高等学校专升本工作的通知</w:t>
      </w:r>
    </w:p>
    <w:p>
      <w:pPr>
        <w:keepNext w:val="0"/>
        <w:keepLines w:val="0"/>
        <w:widowControl/>
        <w:suppressLineNumbers w:val="0"/>
        <w:pBdr>
          <w:top w:val="single" w:color="DDDDDD" w:sz="2" w:space="0"/>
          <w:left w:val="none" w:color="auto" w:sz="0" w:space="0"/>
          <w:bottom w:val="single" w:color="DDDDDD" w:sz="2" w:space="0"/>
          <w:right w:val="none" w:color="auto" w:sz="0" w:space="0"/>
        </w:pBdr>
        <w:shd w:val="clear" w:fill="FFFFFF"/>
        <w:spacing w:before="98" w:beforeAutospacing="0" w:after="98" w:afterAutospacing="0" w:line="225" w:lineRule="atLeast"/>
        <w:ind w:left="0" w:right="0" w:firstLine="0"/>
        <w:jc w:val="left"/>
        <w:rPr>
          <w:rFonts w:hint="eastAsia" w:ascii="微软雅黑" w:hAnsi="微软雅黑" w:eastAsia="微软雅黑" w:cs="微软雅黑"/>
          <w:i w:val="0"/>
          <w:iCs w:val="0"/>
          <w:caps w:val="0"/>
          <w:color w:val="CCCCCC"/>
          <w:spacing w:val="0"/>
          <w:sz w:val="12"/>
          <w:szCs w:val="12"/>
        </w:rPr>
      </w:pP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begin"/>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separate"/>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end"/>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begin"/>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separate"/>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end"/>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begin"/>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separate"/>
      </w:r>
      <w:r>
        <w:rPr>
          <w:rFonts w:hint="eastAsia" w:ascii="微软雅黑" w:hAnsi="微软雅黑" w:eastAsia="微软雅黑" w:cs="微软雅黑"/>
          <w:i w:val="0"/>
          <w:iCs w:val="0"/>
          <w:caps w:val="0"/>
          <w:color w:val="3A8CEB"/>
          <w:spacing w:val="0"/>
          <w:kern w:val="0"/>
          <w:sz w:val="12"/>
          <w:szCs w:val="12"/>
          <w:u w:val="none"/>
          <w:shd w:val="clear" w:fill="FFFFFF"/>
          <w:lang w:val="en-US" w:eastAsia="zh-CN" w:bidi="ar"/>
        </w:rPr>
        <w:fldChar w:fldCharType="end"/>
      </w:r>
    </w:p>
    <w:p>
      <w:pPr>
        <w:keepNext w:val="0"/>
        <w:keepLines w:val="0"/>
        <w:widowControl/>
        <w:suppressLineNumbers w:val="0"/>
        <w:pBdr>
          <w:top w:val="single" w:color="DDDDDD" w:sz="2" w:space="0"/>
          <w:left w:val="none" w:color="auto" w:sz="0" w:space="0"/>
          <w:bottom w:val="single" w:color="DDDDDD" w:sz="2" w:space="0"/>
          <w:right w:val="none" w:color="auto" w:sz="0" w:space="0"/>
        </w:pBdr>
        <w:shd w:val="clear" w:fill="FFFFFF"/>
        <w:spacing w:before="0" w:beforeAutospacing="0" w:after="0" w:afterAutospacing="0" w:line="225" w:lineRule="atLeast"/>
        <w:ind w:left="0" w:right="0" w:firstLine="0"/>
        <w:jc w:val="left"/>
        <w:rPr>
          <w:rFonts w:hint="eastAsia" w:ascii="微软雅黑" w:hAnsi="微软雅黑" w:eastAsia="微软雅黑" w:cs="微软雅黑"/>
          <w:i w:val="0"/>
          <w:iCs w:val="0"/>
          <w:caps w:val="0"/>
          <w:color w:val="CCCCCC"/>
          <w:spacing w:val="0"/>
          <w:sz w:val="12"/>
          <w:szCs w:val="12"/>
        </w:rPr>
      </w:pPr>
      <w:r>
        <w:rPr>
          <w:rFonts w:hint="eastAsia" w:ascii="微软雅黑" w:hAnsi="微软雅黑" w:eastAsia="微软雅黑" w:cs="微软雅黑"/>
          <w:i w:val="0"/>
          <w:iCs w:val="0"/>
          <w:caps w:val="0"/>
          <w:color w:val="002277"/>
          <w:spacing w:val="0"/>
          <w:kern w:val="0"/>
          <w:sz w:val="12"/>
          <w:szCs w:val="12"/>
          <w:shd w:val="clear" w:fill="FFFFFF"/>
          <w:lang w:val="en-US" w:eastAsia="zh-CN" w:bidi="ar"/>
        </w:rPr>
        <w:t>2025-01-26 12:15 | </w:t>
      </w:r>
      <w:r>
        <w:rPr>
          <w:rFonts w:hint="eastAsia" w:ascii="微软雅黑" w:hAnsi="微软雅黑" w:eastAsia="微软雅黑" w:cs="微软雅黑"/>
          <w:i w:val="0"/>
          <w:iCs w:val="0"/>
          <w:caps w:val="0"/>
          <w:color w:val="CCCCCC"/>
          <w:spacing w:val="0"/>
          <w:kern w:val="0"/>
          <w:sz w:val="12"/>
          <w:szCs w:val="12"/>
          <w:shd w:val="clear" w:fill="FFFFFF"/>
          <w:lang w:val="en-US" w:eastAsia="zh-CN" w:bidi="ar"/>
        </w:rPr>
        <w:t> </w:t>
      </w:r>
      <w:r>
        <w:rPr>
          <w:rFonts w:hint="eastAsia" w:ascii="微软雅黑" w:hAnsi="微软雅黑" w:eastAsia="微软雅黑" w:cs="微软雅黑"/>
          <w:i w:val="0"/>
          <w:iCs w:val="0"/>
          <w:caps w:val="0"/>
          <w:color w:val="002277"/>
          <w:spacing w:val="0"/>
          <w:kern w:val="0"/>
          <w:sz w:val="12"/>
          <w:szCs w:val="12"/>
          <w:shd w:val="clear" w:fill="FFFFFF"/>
          <w:lang w:val="en-US" w:eastAsia="zh-CN" w:bidi="ar"/>
        </w:rPr>
        <w:t> 省教育厅</w:t>
      </w:r>
    </w:p>
    <w:tbl>
      <w:tblPr>
        <w:tblStyle w:val="4"/>
        <w:tblW w:w="9000" w:type="dxa"/>
        <w:tblInd w:w="0" w:type="dxa"/>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96"/>
        <w:gridCol w:w="2843"/>
        <w:gridCol w:w="1796"/>
        <w:gridCol w:w="2565"/>
      </w:tblGrid>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tblCellMar>
            <w:top w:w="15" w:type="dxa"/>
            <w:left w:w="15" w:type="dxa"/>
            <w:bottom w:w="15" w:type="dxa"/>
            <w:right w:w="15" w:type="dxa"/>
          </w:tblCellMar>
        </w:tblPrEx>
        <w:tc>
          <w:tcPr>
            <w:tcW w:w="1796" w:type="dxa"/>
            <w:tcBorders>
              <w:top w:val="single" w:color="DDDDDD" w:sz="2" w:space="0"/>
              <w:left w:val="single" w:color="DDDDDD" w:sz="2" w:space="0"/>
              <w:bottom w:val="single" w:color="DDDDDD" w:sz="2" w:space="0"/>
              <w:right w:val="single" w:color="DDDDDD" w:sz="2" w:space="0"/>
            </w:tcBorders>
            <w:shd w:val="clear" w:color="auto" w:fill="F9F9F9"/>
            <w:vAlign w:val="top"/>
          </w:tcPr>
          <w:p>
            <w:pPr>
              <w:keepNext w:val="0"/>
              <w:keepLines w:val="0"/>
              <w:widowControl/>
              <w:suppressLineNumbers w:val="0"/>
              <w:spacing w:before="0" w:beforeAutospacing="0" w:after="0" w:afterAutospacing="0" w:line="11" w:lineRule="atLeast"/>
              <w:ind w:left="0" w:right="0" w:firstLine="0"/>
              <w:jc w:val="center"/>
              <w:textAlignment w:val="top"/>
              <w:rPr>
                <w:rFonts w:hint="eastAsia" w:ascii="微软雅黑" w:hAnsi="微软雅黑" w:eastAsia="微软雅黑" w:cs="微软雅黑"/>
                <w:b w:val="0"/>
                <w:bCs w:val="0"/>
                <w:i w:val="0"/>
                <w:iCs w:val="0"/>
                <w:caps w:val="0"/>
                <w:color w:val="004488"/>
                <w:spacing w:val="0"/>
                <w:sz w:val="10"/>
                <w:szCs w:val="10"/>
              </w:rPr>
            </w:pPr>
            <w:r>
              <w:rPr>
                <w:rFonts w:hint="eastAsia" w:ascii="微软雅黑" w:hAnsi="微软雅黑" w:eastAsia="微软雅黑" w:cs="微软雅黑"/>
                <w:b w:val="0"/>
                <w:bCs w:val="0"/>
                <w:i w:val="0"/>
                <w:iCs w:val="0"/>
                <w:caps w:val="0"/>
                <w:color w:val="004488"/>
                <w:spacing w:val="0"/>
                <w:kern w:val="0"/>
                <w:sz w:val="10"/>
                <w:szCs w:val="10"/>
                <w:lang w:val="en-US" w:eastAsia="zh-CN" w:bidi="ar"/>
              </w:rPr>
              <w:t>索 引 号</w:t>
            </w:r>
          </w:p>
        </w:tc>
        <w:tc>
          <w:tcPr>
            <w:tcW w:w="0" w:type="auto"/>
            <w:tcBorders>
              <w:top w:val="single" w:color="DDDDDD" w:sz="2" w:space="0"/>
              <w:left w:val="single" w:color="DDDDDD" w:sz="2" w:space="0"/>
              <w:bottom w:val="single" w:color="DDDDDD" w:sz="2" w:space="0"/>
              <w:right w:val="single" w:color="DDDDDD" w:sz="2" w:space="0"/>
            </w:tcBorders>
            <w:shd w:val="clear" w:color="auto" w:fill="FFFFFF"/>
            <w:tcMar>
              <w:top w:w="60" w:type="dxa"/>
              <w:left w:w="60" w:type="dxa"/>
              <w:bottom w:w="60" w:type="dxa"/>
              <w:right w:w="60" w:type="dxa"/>
            </w:tcMar>
            <w:vAlign w:val="top"/>
          </w:tcPr>
          <w:p>
            <w:pPr>
              <w:keepNext w:val="0"/>
              <w:keepLines w:val="0"/>
              <w:widowControl/>
              <w:suppressLineNumbers w:val="0"/>
              <w:spacing w:before="0" w:beforeAutospacing="0" w:after="0" w:afterAutospacing="0" w:line="11" w:lineRule="atLeast"/>
              <w:ind w:left="0" w:right="0" w:firstLine="0"/>
              <w:jc w:val="left"/>
              <w:textAlignment w:val="top"/>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kern w:val="0"/>
                <w:sz w:val="10"/>
                <w:szCs w:val="10"/>
                <w:lang w:val="en-US" w:eastAsia="zh-CN" w:bidi="ar"/>
              </w:rPr>
              <w:t>011043161/2025-03698</w:t>
            </w:r>
          </w:p>
        </w:tc>
        <w:tc>
          <w:tcPr>
            <w:tcW w:w="1796" w:type="dxa"/>
            <w:tcBorders>
              <w:top w:val="single" w:color="DDDDDD" w:sz="2" w:space="0"/>
              <w:left w:val="single" w:color="DDDDDD" w:sz="2" w:space="0"/>
              <w:bottom w:val="single" w:color="DDDDDD" w:sz="2" w:space="0"/>
              <w:right w:val="single" w:color="DDDDDD" w:sz="2" w:space="0"/>
            </w:tcBorders>
            <w:shd w:val="clear" w:color="auto" w:fill="F9F9F9"/>
            <w:vAlign w:val="top"/>
          </w:tcPr>
          <w:p>
            <w:pPr>
              <w:keepNext w:val="0"/>
              <w:keepLines w:val="0"/>
              <w:widowControl/>
              <w:suppressLineNumbers w:val="0"/>
              <w:spacing w:before="0" w:beforeAutospacing="0" w:after="0" w:afterAutospacing="0" w:line="11" w:lineRule="atLeast"/>
              <w:ind w:left="0" w:right="0" w:firstLine="0"/>
              <w:jc w:val="center"/>
              <w:textAlignment w:val="top"/>
              <w:rPr>
                <w:rFonts w:hint="eastAsia" w:ascii="微软雅黑" w:hAnsi="微软雅黑" w:eastAsia="微软雅黑" w:cs="微软雅黑"/>
                <w:b w:val="0"/>
                <w:bCs w:val="0"/>
                <w:i w:val="0"/>
                <w:iCs w:val="0"/>
                <w:caps w:val="0"/>
                <w:color w:val="004488"/>
                <w:spacing w:val="0"/>
                <w:sz w:val="10"/>
                <w:szCs w:val="10"/>
              </w:rPr>
            </w:pPr>
            <w:r>
              <w:rPr>
                <w:rFonts w:hint="eastAsia" w:ascii="微软雅黑" w:hAnsi="微软雅黑" w:eastAsia="微软雅黑" w:cs="微软雅黑"/>
                <w:b w:val="0"/>
                <w:bCs w:val="0"/>
                <w:i w:val="0"/>
                <w:iCs w:val="0"/>
                <w:caps w:val="0"/>
                <w:color w:val="004488"/>
                <w:spacing w:val="0"/>
                <w:kern w:val="0"/>
                <w:sz w:val="10"/>
                <w:szCs w:val="10"/>
                <w:lang w:val="en-US" w:eastAsia="zh-CN" w:bidi="ar"/>
              </w:rPr>
              <w:t>发文日期</w:t>
            </w:r>
          </w:p>
        </w:tc>
        <w:tc>
          <w:tcPr>
            <w:tcW w:w="0" w:type="auto"/>
            <w:tcBorders>
              <w:top w:val="single" w:color="DDDDDD" w:sz="2" w:space="0"/>
              <w:left w:val="single" w:color="DDDDDD" w:sz="2" w:space="0"/>
              <w:bottom w:val="single" w:color="DDDDDD" w:sz="2" w:space="0"/>
              <w:right w:val="single" w:color="DDDDDD" w:sz="2" w:space="0"/>
            </w:tcBorders>
            <w:shd w:val="clear" w:color="auto" w:fill="FFFFFF"/>
            <w:tcMar>
              <w:top w:w="60" w:type="dxa"/>
              <w:left w:w="60" w:type="dxa"/>
              <w:bottom w:w="60" w:type="dxa"/>
              <w:right w:w="60" w:type="dxa"/>
            </w:tcMar>
            <w:vAlign w:val="top"/>
          </w:tcPr>
          <w:p>
            <w:pPr>
              <w:keepNext w:val="0"/>
              <w:keepLines w:val="0"/>
              <w:widowControl/>
              <w:suppressLineNumbers w:val="0"/>
              <w:spacing w:before="0" w:beforeAutospacing="0" w:after="0" w:afterAutospacing="0" w:line="11" w:lineRule="atLeast"/>
              <w:ind w:left="0" w:right="0" w:firstLine="0"/>
              <w:jc w:val="left"/>
              <w:textAlignment w:val="top"/>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kern w:val="0"/>
                <w:sz w:val="10"/>
                <w:szCs w:val="10"/>
                <w:lang w:val="en-US" w:eastAsia="zh-CN" w:bidi="ar"/>
              </w:rPr>
              <w:t>2025-01-26</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796" w:type="dxa"/>
            <w:tcBorders>
              <w:top w:val="single" w:color="DDDDDD" w:sz="2" w:space="0"/>
              <w:left w:val="single" w:color="DDDDDD" w:sz="2" w:space="0"/>
              <w:bottom w:val="single" w:color="DDDDDD" w:sz="2" w:space="0"/>
              <w:right w:val="single" w:color="DDDDDD" w:sz="2" w:space="0"/>
            </w:tcBorders>
            <w:shd w:val="clear" w:color="auto" w:fill="F9F9F9"/>
            <w:vAlign w:val="top"/>
          </w:tcPr>
          <w:p>
            <w:pPr>
              <w:keepNext w:val="0"/>
              <w:keepLines w:val="0"/>
              <w:widowControl/>
              <w:suppressLineNumbers w:val="0"/>
              <w:spacing w:before="0" w:beforeAutospacing="0" w:after="0" w:afterAutospacing="0" w:line="11" w:lineRule="atLeast"/>
              <w:ind w:left="0" w:right="0" w:firstLine="0"/>
              <w:jc w:val="center"/>
              <w:textAlignment w:val="top"/>
              <w:rPr>
                <w:rFonts w:hint="eastAsia" w:ascii="微软雅黑" w:hAnsi="微软雅黑" w:eastAsia="微软雅黑" w:cs="微软雅黑"/>
                <w:b w:val="0"/>
                <w:bCs w:val="0"/>
                <w:i w:val="0"/>
                <w:iCs w:val="0"/>
                <w:caps w:val="0"/>
                <w:color w:val="004488"/>
                <w:spacing w:val="0"/>
                <w:sz w:val="10"/>
                <w:szCs w:val="10"/>
              </w:rPr>
            </w:pPr>
            <w:r>
              <w:rPr>
                <w:rFonts w:hint="eastAsia" w:ascii="微软雅黑" w:hAnsi="微软雅黑" w:eastAsia="微软雅黑" w:cs="微软雅黑"/>
                <w:b w:val="0"/>
                <w:bCs w:val="0"/>
                <w:i w:val="0"/>
                <w:iCs w:val="0"/>
                <w:caps w:val="0"/>
                <w:color w:val="004488"/>
                <w:spacing w:val="0"/>
                <w:kern w:val="0"/>
                <w:sz w:val="10"/>
                <w:szCs w:val="10"/>
                <w:lang w:val="en-US" w:eastAsia="zh-CN" w:bidi="ar"/>
              </w:rPr>
              <w:t>发布机构</w:t>
            </w:r>
          </w:p>
        </w:tc>
        <w:tc>
          <w:tcPr>
            <w:tcW w:w="0" w:type="auto"/>
            <w:tcBorders>
              <w:top w:val="single" w:color="DDDDDD" w:sz="2" w:space="0"/>
              <w:left w:val="single" w:color="DDDDDD" w:sz="2" w:space="0"/>
              <w:bottom w:val="single" w:color="DDDDDD" w:sz="2" w:space="0"/>
              <w:right w:val="single" w:color="DDDDDD" w:sz="2" w:space="0"/>
            </w:tcBorders>
            <w:shd w:val="clear" w:color="auto" w:fill="FFFFFF"/>
            <w:tcMar>
              <w:top w:w="60" w:type="dxa"/>
              <w:left w:w="60" w:type="dxa"/>
              <w:bottom w:w="60" w:type="dxa"/>
              <w:right w:w="60" w:type="dxa"/>
            </w:tcMar>
            <w:vAlign w:val="top"/>
          </w:tcPr>
          <w:p>
            <w:pPr>
              <w:keepNext w:val="0"/>
              <w:keepLines w:val="0"/>
              <w:widowControl/>
              <w:suppressLineNumbers w:val="0"/>
              <w:spacing w:before="0" w:beforeAutospacing="0" w:after="0" w:afterAutospacing="0" w:line="11" w:lineRule="atLeast"/>
              <w:ind w:left="0" w:right="0" w:firstLine="0"/>
              <w:jc w:val="left"/>
              <w:textAlignment w:val="top"/>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kern w:val="0"/>
                <w:sz w:val="10"/>
                <w:szCs w:val="10"/>
                <w:lang w:val="en-US" w:eastAsia="zh-CN" w:bidi="ar"/>
              </w:rPr>
              <w:t>省教育厅</w:t>
            </w:r>
          </w:p>
        </w:tc>
        <w:tc>
          <w:tcPr>
            <w:tcW w:w="1796" w:type="dxa"/>
            <w:tcBorders>
              <w:top w:val="single" w:color="DDDDDD" w:sz="2" w:space="0"/>
              <w:left w:val="single" w:color="DDDDDD" w:sz="2" w:space="0"/>
              <w:bottom w:val="single" w:color="DDDDDD" w:sz="2" w:space="0"/>
              <w:right w:val="single" w:color="DDDDDD" w:sz="2" w:space="0"/>
            </w:tcBorders>
            <w:shd w:val="clear" w:color="auto" w:fill="F9F9F9"/>
            <w:vAlign w:val="top"/>
          </w:tcPr>
          <w:p>
            <w:pPr>
              <w:keepNext w:val="0"/>
              <w:keepLines w:val="0"/>
              <w:widowControl/>
              <w:suppressLineNumbers w:val="0"/>
              <w:spacing w:before="0" w:beforeAutospacing="0" w:after="0" w:afterAutospacing="0" w:line="11" w:lineRule="atLeast"/>
              <w:ind w:left="0" w:right="0" w:firstLine="0"/>
              <w:jc w:val="center"/>
              <w:textAlignment w:val="top"/>
              <w:rPr>
                <w:rFonts w:hint="eastAsia" w:ascii="微软雅黑" w:hAnsi="微软雅黑" w:eastAsia="微软雅黑" w:cs="微软雅黑"/>
                <w:b w:val="0"/>
                <w:bCs w:val="0"/>
                <w:i w:val="0"/>
                <w:iCs w:val="0"/>
                <w:caps w:val="0"/>
                <w:color w:val="004488"/>
                <w:spacing w:val="0"/>
                <w:sz w:val="10"/>
                <w:szCs w:val="10"/>
              </w:rPr>
            </w:pPr>
            <w:r>
              <w:rPr>
                <w:rFonts w:hint="eastAsia" w:ascii="微软雅黑" w:hAnsi="微软雅黑" w:eastAsia="微软雅黑" w:cs="微软雅黑"/>
                <w:b w:val="0"/>
                <w:bCs w:val="0"/>
                <w:i w:val="0"/>
                <w:iCs w:val="0"/>
                <w:caps w:val="0"/>
                <w:color w:val="004488"/>
                <w:spacing w:val="0"/>
                <w:kern w:val="0"/>
                <w:sz w:val="10"/>
                <w:szCs w:val="10"/>
                <w:lang w:val="en-US" w:eastAsia="zh-CN" w:bidi="ar"/>
              </w:rPr>
              <w:t>文    号</w:t>
            </w:r>
          </w:p>
        </w:tc>
        <w:tc>
          <w:tcPr>
            <w:tcW w:w="0" w:type="auto"/>
            <w:tcBorders>
              <w:top w:val="single" w:color="DDDDDD" w:sz="2" w:space="0"/>
              <w:left w:val="single" w:color="DDDDDD" w:sz="2" w:space="0"/>
              <w:bottom w:val="single" w:color="DDDDDD" w:sz="2" w:space="0"/>
              <w:right w:val="single" w:color="DDDDDD" w:sz="2" w:space="0"/>
            </w:tcBorders>
            <w:shd w:val="clear" w:color="auto" w:fill="FFFFFF"/>
            <w:tcMar>
              <w:top w:w="60" w:type="dxa"/>
              <w:left w:w="60" w:type="dxa"/>
              <w:bottom w:w="60" w:type="dxa"/>
              <w:right w:w="60" w:type="dxa"/>
            </w:tcMar>
            <w:vAlign w:val="top"/>
          </w:tcPr>
          <w:p>
            <w:pPr>
              <w:keepNext w:val="0"/>
              <w:keepLines w:val="0"/>
              <w:widowControl/>
              <w:suppressLineNumbers w:val="0"/>
              <w:spacing w:before="0" w:beforeAutospacing="0" w:after="0" w:afterAutospacing="0" w:line="11" w:lineRule="atLeast"/>
              <w:ind w:left="0" w:right="0" w:firstLine="0"/>
              <w:jc w:val="left"/>
              <w:textAlignment w:val="top"/>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kern w:val="0"/>
                <w:sz w:val="10"/>
                <w:szCs w:val="10"/>
                <w:lang w:val="en-US" w:eastAsia="zh-CN" w:bidi="ar"/>
              </w:rPr>
              <w:t>鄂教高函〔2025〕5号</w:t>
            </w:r>
          </w:p>
        </w:tc>
      </w:tr>
      <w:tr>
        <w:tblPrEx>
          <w:tblBorders>
            <w:top w:val="single" w:color="DDDDDD" w:sz="2" w:space="0"/>
            <w:left w:val="single" w:color="DDDDDD" w:sz="2" w:space="0"/>
            <w:bottom w:val="single" w:color="DDDDDD" w:sz="2" w:space="0"/>
            <w:right w:val="single" w:color="DDDDDD" w:sz="2" w:space="0"/>
            <w:insideH w:val="none" w:color="auto" w:sz="0" w:space="0"/>
            <w:insideV w:val="none" w:color="auto" w:sz="0" w:space="0"/>
          </w:tblBorders>
          <w:shd w:val="clear" w:color="auto" w:fill="FFFFFF"/>
          <w:tblCellMar>
            <w:top w:w="15" w:type="dxa"/>
            <w:left w:w="15" w:type="dxa"/>
            <w:bottom w:w="15" w:type="dxa"/>
            <w:right w:w="15" w:type="dxa"/>
          </w:tblCellMar>
        </w:tblPrEx>
        <w:tc>
          <w:tcPr>
            <w:tcW w:w="1796" w:type="dxa"/>
            <w:tcBorders>
              <w:top w:val="single" w:color="DDDDDD" w:sz="2" w:space="0"/>
              <w:left w:val="single" w:color="DDDDDD" w:sz="2" w:space="0"/>
              <w:bottom w:val="single" w:color="DDDDDD" w:sz="2" w:space="0"/>
              <w:right w:val="single" w:color="DDDDDD" w:sz="2" w:space="0"/>
            </w:tcBorders>
            <w:shd w:val="clear" w:color="auto" w:fill="F9F9F9"/>
            <w:vAlign w:val="top"/>
          </w:tcPr>
          <w:p>
            <w:pPr>
              <w:keepNext w:val="0"/>
              <w:keepLines w:val="0"/>
              <w:widowControl/>
              <w:suppressLineNumbers w:val="0"/>
              <w:spacing w:before="0" w:beforeAutospacing="0" w:after="0" w:afterAutospacing="0" w:line="11" w:lineRule="atLeast"/>
              <w:ind w:left="0" w:right="0" w:firstLine="0"/>
              <w:jc w:val="center"/>
              <w:textAlignment w:val="top"/>
              <w:rPr>
                <w:rFonts w:hint="eastAsia" w:ascii="微软雅黑" w:hAnsi="微软雅黑" w:eastAsia="微软雅黑" w:cs="微软雅黑"/>
                <w:b w:val="0"/>
                <w:bCs w:val="0"/>
                <w:i w:val="0"/>
                <w:iCs w:val="0"/>
                <w:caps w:val="0"/>
                <w:color w:val="004488"/>
                <w:spacing w:val="0"/>
                <w:sz w:val="10"/>
                <w:szCs w:val="10"/>
              </w:rPr>
            </w:pPr>
            <w:r>
              <w:rPr>
                <w:rFonts w:hint="eastAsia" w:ascii="微软雅黑" w:hAnsi="微软雅黑" w:eastAsia="微软雅黑" w:cs="微软雅黑"/>
                <w:b w:val="0"/>
                <w:bCs w:val="0"/>
                <w:i w:val="0"/>
                <w:iCs w:val="0"/>
                <w:caps w:val="0"/>
                <w:color w:val="004488"/>
                <w:spacing w:val="0"/>
                <w:kern w:val="0"/>
                <w:sz w:val="10"/>
                <w:szCs w:val="10"/>
                <w:lang w:val="en-US" w:eastAsia="zh-CN" w:bidi="ar"/>
              </w:rPr>
              <w:t>分    类</w:t>
            </w:r>
          </w:p>
        </w:tc>
        <w:tc>
          <w:tcPr>
            <w:tcW w:w="0" w:type="auto"/>
            <w:tcBorders>
              <w:top w:val="single" w:color="DDDDDD" w:sz="2" w:space="0"/>
              <w:left w:val="single" w:color="DDDDDD" w:sz="2" w:space="0"/>
              <w:bottom w:val="single" w:color="DDDDDD" w:sz="2" w:space="0"/>
              <w:right w:val="single" w:color="DDDDDD" w:sz="2" w:space="0"/>
            </w:tcBorders>
            <w:shd w:val="clear" w:color="auto" w:fill="FFFFFF"/>
            <w:tcMar>
              <w:top w:w="60" w:type="dxa"/>
              <w:left w:w="60" w:type="dxa"/>
              <w:bottom w:w="60" w:type="dxa"/>
              <w:right w:w="60" w:type="dxa"/>
            </w:tcMar>
            <w:vAlign w:val="top"/>
          </w:tcPr>
          <w:p>
            <w:pPr>
              <w:keepNext w:val="0"/>
              <w:keepLines w:val="0"/>
              <w:widowControl/>
              <w:suppressLineNumbers w:val="0"/>
              <w:spacing w:before="0" w:beforeAutospacing="0" w:after="0" w:afterAutospacing="0" w:line="11" w:lineRule="atLeast"/>
              <w:ind w:left="0" w:right="0" w:firstLine="0"/>
              <w:jc w:val="left"/>
              <w:textAlignment w:val="top"/>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kern w:val="0"/>
                <w:sz w:val="10"/>
                <w:szCs w:val="10"/>
                <w:lang w:val="en-US" w:eastAsia="zh-CN" w:bidi="ar"/>
              </w:rPr>
              <w:t>教育</w:t>
            </w:r>
          </w:p>
        </w:tc>
        <w:tc>
          <w:tcPr>
            <w:tcW w:w="1796" w:type="dxa"/>
            <w:tcBorders>
              <w:top w:val="single" w:color="DDDDDD" w:sz="2" w:space="0"/>
              <w:left w:val="single" w:color="DDDDDD" w:sz="2" w:space="0"/>
              <w:bottom w:val="single" w:color="DDDDDD" w:sz="2" w:space="0"/>
              <w:right w:val="single" w:color="DDDDDD" w:sz="2" w:space="0"/>
            </w:tcBorders>
            <w:shd w:val="clear" w:color="auto" w:fill="F9F9F9"/>
            <w:vAlign w:val="top"/>
          </w:tcPr>
          <w:p>
            <w:pPr>
              <w:keepNext w:val="0"/>
              <w:keepLines w:val="0"/>
              <w:widowControl/>
              <w:suppressLineNumbers w:val="0"/>
              <w:spacing w:before="0" w:beforeAutospacing="0" w:after="0" w:afterAutospacing="0" w:line="11" w:lineRule="atLeast"/>
              <w:ind w:left="0" w:right="0" w:firstLine="0"/>
              <w:jc w:val="center"/>
              <w:textAlignment w:val="top"/>
              <w:rPr>
                <w:rFonts w:hint="eastAsia" w:ascii="微软雅黑" w:hAnsi="微软雅黑" w:eastAsia="微软雅黑" w:cs="微软雅黑"/>
                <w:b w:val="0"/>
                <w:bCs w:val="0"/>
                <w:i w:val="0"/>
                <w:iCs w:val="0"/>
                <w:caps w:val="0"/>
                <w:color w:val="004488"/>
                <w:spacing w:val="0"/>
                <w:sz w:val="10"/>
                <w:szCs w:val="10"/>
              </w:rPr>
            </w:pPr>
            <w:r>
              <w:rPr>
                <w:rFonts w:hint="eastAsia" w:ascii="微软雅黑" w:hAnsi="微软雅黑" w:eastAsia="微软雅黑" w:cs="微软雅黑"/>
                <w:b w:val="0"/>
                <w:bCs w:val="0"/>
                <w:i w:val="0"/>
                <w:iCs w:val="0"/>
                <w:caps w:val="0"/>
                <w:color w:val="004488"/>
                <w:spacing w:val="0"/>
                <w:kern w:val="0"/>
                <w:sz w:val="10"/>
                <w:szCs w:val="10"/>
                <w:lang w:val="en-US" w:eastAsia="zh-CN" w:bidi="ar"/>
              </w:rPr>
              <w:t>有 效 性</w:t>
            </w:r>
          </w:p>
        </w:tc>
        <w:tc>
          <w:tcPr>
            <w:tcW w:w="0" w:type="auto"/>
            <w:tcBorders>
              <w:top w:val="single" w:color="DDDDDD" w:sz="2" w:space="0"/>
              <w:left w:val="single" w:color="DDDDDD" w:sz="2" w:space="0"/>
              <w:bottom w:val="single" w:color="DDDDDD" w:sz="2" w:space="0"/>
              <w:right w:val="single" w:color="DDDDDD" w:sz="2" w:space="0"/>
            </w:tcBorders>
            <w:shd w:val="clear" w:color="auto" w:fill="FFFFFF"/>
            <w:tcMar>
              <w:top w:w="60" w:type="dxa"/>
              <w:left w:w="60" w:type="dxa"/>
              <w:bottom w:w="60" w:type="dxa"/>
              <w:right w:w="60" w:type="dxa"/>
            </w:tcMar>
            <w:vAlign w:val="top"/>
          </w:tcPr>
          <w:p>
            <w:pPr>
              <w:keepNext w:val="0"/>
              <w:keepLines w:val="0"/>
              <w:widowControl/>
              <w:suppressLineNumbers w:val="0"/>
              <w:spacing w:before="0" w:beforeAutospacing="0" w:after="0" w:afterAutospacing="0" w:line="11" w:lineRule="atLeast"/>
              <w:ind w:left="0" w:right="0" w:firstLine="0"/>
              <w:jc w:val="left"/>
              <w:textAlignment w:val="top"/>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kern w:val="0"/>
                <w:sz w:val="10"/>
                <w:szCs w:val="10"/>
                <w:lang w:val="en-US" w:eastAsia="zh-CN" w:bidi="ar"/>
              </w:rPr>
              <w:t>有效</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0"/>
        <w:jc w:val="both"/>
        <w:rPr>
          <w:sz w:val="15"/>
          <w:szCs w:val="15"/>
        </w:rPr>
      </w:pPr>
      <w:r>
        <w:rPr>
          <w:rFonts w:ascii="仿宋" w:hAnsi="仿宋" w:eastAsia="仿宋" w:cs="仿宋"/>
          <w:i w:val="0"/>
          <w:iCs w:val="0"/>
          <w:caps w:val="0"/>
          <w:color w:val="000000"/>
          <w:spacing w:val="0"/>
          <w:sz w:val="15"/>
          <w:szCs w:val="15"/>
          <w:shd w:val="clear" w:fill="FFFFFF"/>
        </w:rPr>
        <w:t>各</w:t>
      </w:r>
      <w:r>
        <w:rPr>
          <w:rFonts w:hint="eastAsia" w:ascii="仿宋" w:hAnsi="仿宋" w:eastAsia="仿宋" w:cs="仿宋"/>
          <w:i w:val="0"/>
          <w:iCs w:val="0"/>
          <w:caps w:val="0"/>
          <w:color w:val="000000"/>
          <w:spacing w:val="0"/>
          <w:sz w:val="15"/>
          <w:szCs w:val="15"/>
          <w:shd w:val="clear" w:fill="FFFFFF"/>
        </w:rPr>
        <w:t>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根据教育部《关于做好2025年普通高等学校专升本考试招生工作的通知》（教学司〔2024〕12号）精神，为做好2025年我省普通高等学校专升本考试招生工作（以下简称“专升本”），现就有关事项通知如下。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ascii="黑体" w:hAnsi="宋体" w:eastAsia="黑体" w:cs="黑体"/>
          <w:i w:val="0"/>
          <w:iCs w:val="0"/>
          <w:caps w:val="0"/>
          <w:color w:val="000000"/>
          <w:spacing w:val="0"/>
          <w:sz w:val="15"/>
          <w:szCs w:val="15"/>
          <w:shd w:val="clear" w:fill="FFFFFF"/>
        </w:rPr>
        <w:t>一、招生对象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1.应届高职（专科）毕业生。</w:t>
      </w:r>
      <w:r>
        <w:rPr>
          <w:rFonts w:hint="eastAsia" w:ascii="仿宋" w:hAnsi="仿宋" w:eastAsia="仿宋" w:cs="仿宋"/>
          <w:i w:val="0"/>
          <w:iCs w:val="0"/>
          <w:caps w:val="0"/>
          <w:color w:val="000000"/>
          <w:spacing w:val="0"/>
          <w:sz w:val="15"/>
          <w:szCs w:val="15"/>
          <w:shd w:val="clear" w:fill="FFFFFF"/>
        </w:rPr>
        <w:t>2025年湖北省普通高校全日制高职（专科）应届毕业生，能如期取得专科毕业证书（简称“普通考生”）。具体报考条件由招生高校制定。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2.专项计划考生。</w:t>
      </w:r>
      <w:r>
        <w:rPr>
          <w:rFonts w:hint="eastAsia" w:ascii="仿宋" w:hAnsi="仿宋" w:eastAsia="仿宋" w:cs="仿宋"/>
          <w:i w:val="0"/>
          <w:iCs w:val="0"/>
          <w:caps w:val="0"/>
          <w:color w:val="000000"/>
          <w:spacing w:val="0"/>
          <w:sz w:val="15"/>
          <w:szCs w:val="15"/>
          <w:shd w:val="clear" w:fill="FFFFFF"/>
        </w:rPr>
        <w:t>“专升本专项计划”招收对象为符合普通考生报考条件，且经省农业农村厅（省乡村振兴局）确认的原建档立卡贫困家庭学生和防返贫动态监测家庭学生。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3.退役大学生士兵。</w:t>
      </w:r>
      <w:r>
        <w:rPr>
          <w:rFonts w:hint="eastAsia" w:ascii="仿宋" w:hAnsi="仿宋" w:eastAsia="仿宋" w:cs="仿宋"/>
          <w:i w:val="0"/>
          <w:iCs w:val="0"/>
          <w:caps w:val="0"/>
          <w:color w:val="000000"/>
          <w:spacing w:val="0"/>
          <w:sz w:val="15"/>
          <w:szCs w:val="15"/>
          <w:shd w:val="clear" w:fill="FFFFFF"/>
        </w:rPr>
        <w:t>遵守中华人民共和国宪法和法律，服役期间没有受到部队相关处分；在湖北省应征入伍；普通高校全日制高职（专科）毕业生及在校生（含高校新生）应征入伍，退役后完成高职学业。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4.技能大赛免试考生。</w:t>
      </w:r>
      <w:r>
        <w:rPr>
          <w:rFonts w:hint="eastAsia" w:ascii="仿宋" w:hAnsi="仿宋" w:eastAsia="仿宋" w:cs="仿宋"/>
          <w:i w:val="0"/>
          <w:iCs w:val="0"/>
          <w:caps w:val="0"/>
          <w:color w:val="000000"/>
          <w:spacing w:val="0"/>
          <w:sz w:val="15"/>
          <w:szCs w:val="15"/>
          <w:shd w:val="clear" w:fill="FFFFFF"/>
        </w:rPr>
        <w:t>包括在专科高等职业教育期间，且在本通知印发前成为世界技能大赛参赛选手(含入围国家集训队选手)，或获得中华人民共和国职业技能大赛优胜奖及以上、全国职业院校技能大赛三等奖及以上、世界职业院校技能大赛总决赛争夺赛高职组铜奖及以上、湖北省职业院校技能大赛一等奖(不含抽测组)奖项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考生只能选择上述4种考生类型中的一种报考。符合条件的考生只能参加一次普通专升本考试（含已录取未报到、延期毕业考生等）。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黑体" w:hAnsi="宋体" w:eastAsia="黑体" w:cs="黑体"/>
          <w:i w:val="0"/>
          <w:iCs w:val="0"/>
          <w:caps w:val="0"/>
          <w:color w:val="000000"/>
          <w:spacing w:val="0"/>
          <w:sz w:val="15"/>
          <w:szCs w:val="15"/>
          <w:shd w:val="clear" w:fill="FFFFFF"/>
        </w:rPr>
        <w:t>二、招生高校及招生计划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1.招生高校。</w:t>
      </w:r>
      <w:r>
        <w:rPr>
          <w:rFonts w:hint="eastAsia" w:ascii="仿宋" w:hAnsi="仿宋" w:eastAsia="仿宋" w:cs="仿宋"/>
          <w:i w:val="0"/>
          <w:iCs w:val="0"/>
          <w:caps w:val="0"/>
          <w:color w:val="000000"/>
          <w:spacing w:val="0"/>
          <w:sz w:val="15"/>
          <w:szCs w:val="15"/>
          <w:shd w:val="clear" w:fill="FFFFFF"/>
        </w:rPr>
        <w:t>举办专升本的高校为49所省属普通本科高校（见附件）。其中，长江大学等18所高校招收专项计划考生。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2.招生计划。</w:t>
      </w:r>
      <w:r>
        <w:rPr>
          <w:rFonts w:hint="eastAsia" w:ascii="仿宋" w:hAnsi="仿宋" w:eastAsia="仿宋" w:cs="仿宋"/>
          <w:i w:val="0"/>
          <w:iCs w:val="0"/>
          <w:caps w:val="0"/>
          <w:color w:val="000000"/>
          <w:spacing w:val="0"/>
          <w:sz w:val="15"/>
          <w:szCs w:val="15"/>
          <w:shd w:val="clear" w:fill="FFFFFF"/>
        </w:rPr>
        <w:t>专升本招生计划分“普通考生计划”“专项计划”“退役大学生士兵计划”“技能大赛免试考生计划”4类。各招生高校分专业计划原则上重点向与我省产业升级和改善民生急需的相关专业倾斜。招生计划由招生高校在招生简章中公布。专项计划报考总人数不足的，可将专项计划空余量调整至普通考生计划使用。退役大学生士兵计划和技能大赛免试考生计划不调整到其他类别使用。计划调整情况必须在学校专升本网站进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黑体" w:hAnsi="宋体" w:eastAsia="黑体" w:cs="黑体"/>
          <w:i w:val="0"/>
          <w:iCs w:val="0"/>
          <w:caps w:val="0"/>
          <w:color w:val="000000"/>
          <w:spacing w:val="0"/>
          <w:sz w:val="15"/>
          <w:szCs w:val="15"/>
          <w:shd w:val="clear" w:fill="FFFFFF"/>
        </w:rPr>
        <w:t>三、报名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1.发布招生简章。</w:t>
      </w:r>
      <w:r>
        <w:rPr>
          <w:rFonts w:hint="eastAsia" w:ascii="仿宋" w:hAnsi="仿宋" w:eastAsia="仿宋" w:cs="仿宋"/>
          <w:i w:val="0"/>
          <w:iCs w:val="0"/>
          <w:caps w:val="0"/>
          <w:color w:val="000000"/>
          <w:spacing w:val="0"/>
          <w:sz w:val="15"/>
          <w:szCs w:val="15"/>
          <w:shd w:val="clear" w:fill="FFFFFF"/>
        </w:rPr>
        <w:t>各招生高校根据有关要求制定本校2025年专升本工作方案、实施细则及招生简章。招生简章经学校专升本工作领导小组研究确定并报省教育厅审核备案后，应于2月28日前在校园网或工作网站（见附件）上发布。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2.报名及填报志愿。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考生统一在湖北省高等学校普通专升本报名平台（以下简称“报名平台”，网址为http://zsb.e21.cn）进行网络报名。考生对其提供的信息和资料真实性、准确性和完整性负责，并承担相应责任。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1）普通考生及专项计划考生。普通考生及专项计划考生于2025年3月10日至13日登录报名平台进行网络报名。按要求如实填写《2025年湖北省普通高等学校专升本报名申请表》，同时上传相关材料。每生限报一所高校的一个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2）退役大学生士兵。退役大学生士兵报名分两个阶段：第一阶段，2月17日至21日进行预报名。符合报名资格条件的退役大学生士兵登录报名平台，填写《2025年湖北省普通高等学校退役大学生士兵专升本申请表》，同时上传本人相关材料；第二阶段，3月10日至13日进行志愿填报，填报要求同普通考生一致。未参加预报名的不能填报退役大学生士兵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3）技能大赛免试考生。符合技能大赛免试条件的考生于2月22日至26日登录报名平台进行网络报名并提交申请。根据技能大赛获奖专升本免试录取招生专业与竞赛赛项对应关系，按要求提交《湖北省普通高等学校专升本技能竞赛获奖考生免试申请表》（经所在高职院校审核并加盖印章），同时上传本人相关材料。每生限报一所高校一个专业，跨赛项、跨高校、跨专业填报申请无效。省教育厅组织对技能大赛免试考生资格进行审核，通过审核的考生将由有关高校直接免试录取，不得再以其他类型考生报名；未通过审核的考生仍可以其他类型考生身份报名参加专升本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4）网络报名期间，报名平台每天公布一次各招生高校招生专业报考人数。报名结束后，招生高校对考生的报名和志愿信息进行审核。审核通过的考生不得再更改志愿信息；志愿信息审核未通过的考生可于3月17日规定时间内更正一次志愿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3.资格审核。</w:t>
      </w:r>
      <w:r>
        <w:rPr>
          <w:rFonts w:hint="eastAsia" w:ascii="仿宋" w:hAnsi="仿宋" w:eastAsia="仿宋" w:cs="仿宋"/>
          <w:i w:val="0"/>
          <w:iCs w:val="0"/>
          <w:caps w:val="0"/>
          <w:color w:val="000000"/>
          <w:spacing w:val="0"/>
          <w:sz w:val="15"/>
          <w:szCs w:val="15"/>
          <w:shd w:val="clear" w:fill="FFFFFF"/>
        </w:rPr>
        <w:t>网络报名结束后，考生需及时自行在报名平台下载、打印并保管好报名申请表，按招生简章有关规定向报考高校提交资格审核材料，由招生高校进行资格审核。资格审核贯穿专升本考试录取全过程，不符报考资格或发现资格信息不实的考生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黑体" w:hAnsi="宋体" w:eastAsia="黑体" w:cs="黑体"/>
          <w:i w:val="0"/>
          <w:iCs w:val="0"/>
          <w:caps w:val="0"/>
          <w:color w:val="000000"/>
          <w:spacing w:val="0"/>
          <w:sz w:val="15"/>
          <w:szCs w:val="15"/>
          <w:shd w:val="clear" w:fill="FFFFFF"/>
        </w:rPr>
        <w:t>四、考试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1.考试科目。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（1）普通考生及专项计划考生。考试科目为公共课和专业课。公共课科目为英语，实行全省统一命题、统一考试、统一评卷。专业课科目由各招生高校自主确定并命题、阅卷。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（2）退役大学生士兵。退役大学生士兵免于文化课考试，参加由招生高校组织的综合考查。荣立三等功及以上的考生可免于参加综合考查。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所有考试科目均不得设置选择题、判断题，其他题型不限。各高校不得公布考试题型、题样。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2.考试时间、地点。</w:t>
      </w:r>
      <w:r>
        <w:rPr>
          <w:rFonts w:hint="eastAsia" w:ascii="仿宋" w:hAnsi="仿宋" w:eastAsia="仿宋" w:cs="仿宋"/>
          <w:i w:val="0"/>
          <w:iCs w:val="0"/>
          <w:caps w:val="0"/>
          <w:color w:val="000000"/>
          <w:spacing w:val="0"/>
          <w:sz w:val="15"/>
          <w:szCs w:val="15"/>
          <w:shd w:val="clear" w:fill="FFFFFF"/>
        </w:rPr>
        <w:t>公共课科目考试统一安排在4月18日上午9至11时进行；专业课科目考试及退役大学生士兵综合考查安排在4月18日同一天进行，具体时间由各招生高校确定。考试地点设置在各招生高校。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3.考试组织。</w:t>
      </w:r>
      <w:r>
        <w:rPr>
          <w:rFonts w:hint="eastAsia" w:ascii="仿宋" w:hAnsi="仿宋" w:eastAsia="仿宋" w:cs="仿宋"/>
          <w:i w:val="0"/>
          <w:iCs w:val="0"/>
          <w:caps w:val="0"/>
          <w:color w:val="000000"/>
          <w:spacing w:val="0"/>
          <w:sz w:val="15"/>
          <w:szCs w:val="15"/>
          <w:shd w:val="clear" w:fill="FFFFFF"/>
        </w:rPr>
        <w:t>考试由各招生高校负责组织实施，省教育厅将组织对专升本考试进行巡考。各招生高校要参照国家教育考试的标准，制定详细的考试组织方案和考务手册，健全组织机构，明确工作职责，加强考试各环节的规范管理。对考试违规违纪行为，要按照国家教育考试相关法律法规和学生管理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省教育考试院将就考务工作另行部署安排。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4.成绩公布。</w:t>
      </w:r>
      <w:r>
        <w:rPr>
          <w:rFonts w:hint="eastAsia" w:ascii="仿宋" w:hAnsi="仿宋" w:eastAsia="仿宋" w:cs="仿宋"/>
          <w:i w:val="0"/>
          <w:iCs w:val="0"/>
          <w:caps w:val="0"/>
          <w:color w:val="000000"/>
          <w:spacing w:val="0"/>
          <w:sz w:val="15"/>
          <w:szCs w:val="15"/>
          <w:shd w:val="clear" w:fill="FFFFFF"/>
        </w:rPr>
        <w:t>专升本考试公共课科目、专业课科目及退役大学生士兵综合考查成绩，由各招生高校按统一时间公布并同时受理考生成绩复核申请。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黑体" w:hAnsi="宋体" w:eastAsia="黑体" w:cs="黑体"/>
          <w:i w:val="0"/>
          <w:iCs w:val="0"/>
          <w:caps w:val="0"/>
          <w:color w:val="000000"/>
          <w:spacing w:val="0"/>
          <w:sz w:val="15"/>
          <w:szCs w:val="15"/>
          <w:shd w:val="clear" w:fill="FFFFFF"/>
        </w:rPr>
        <w:t>五、录取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专升本录取工作由招生高校负责。应届毕业生考生在7月31日前未取得专科毕业证书的，取消录取资格。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1.专项计划考生。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在普通考生录取前，先录取专项计划考生。招生高校根据录取规则，按专项计划考生的考试成绩从高分到低分依次录取，直至完成专项计划。未被录取的专项计划考生，参加普通考生录取。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2.普通考生。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（1）录取。招生高校根据录取规则和考生的考试成绩，在普通考生计划内从高分到低分依次录取。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2）补录。第一轮录取结束后，未完成的普通考生计划，由省教育厅统一在专升本报名平台公布。第一轮未被录取的考生，可根据补录计划和相应招生高校招生简章、补录工作公告的要求进行补录报名。第一轮已被录取的考生不得再参加补录报名。相关高校按招生简章规定和英语科目成绩对报名参加补录的考生从高分到低分依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3.退役大学生士兵。</w:t>
      </w:r>
      <w:r>
        <w:rPr>
          <w:rFonts w:hint="eastAsia" w:ascii="仿宋" w:hAnsi="仿宋" w:eastAsia="仿宋" w:cs="仿宋"/>
          <w:i w:val="0"/>
          <w:iCs w:val="0"/>
          <w:caps w:val="0"/>
          <w:color w:val="000000"/>
          <w:spacing w:val="0"/>
          <w:sz w:val="15"/>
          <w:szCs w:val="15"/>
          <w:shd w:val="clear" w:fill="FFFFFF"/>
        </w:rPr>
        <w:t>退役大学生士兵录取与普通考生录取同步进行。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（1）录取。招生高校根据人才培养要求，依据退役大学生士兵综合考查结果，结合考生志愿、在校期间成绩、服役期间表现等情况综合评价，在计划内择优录取。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2）补录。第一轮录取结束后，未完成的退役大学生士兵计划，由省教育厅统一在专升本报名平台公布。第一轮未被录取的退役大学生士兵，可根据补录计划和相应招生高校招生简章、补录工作公告的要求进行补录报名。第一轮已被录取的考生不得再参加补录报名。相关高校按照招生简章规定对参加补录的考生进行综合评价、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4.技能大赛免试考生。</w:t>
      </w:r>
      <w:r>
        <w:rPr>
          <w:rFonts w:hint="eastAsia" w:ascii="仿宋" w:hAnsi="仿宋" w:eastAsia="仿宋" w:cs="仿宋"/>
          <w:i w:val="0"/>
          <w:iCs w:val="0"/>
          <w:caps w:val="0"/>
          <w:color w:val="000000"/>
          <w:spacing w:val="0"/>
          <w:sz w:val="15"/>
          <w:szCs w:val="15"/>
          <w:shd w:val="clear" w:fill="FFFFFF"/>
        </w:rPr>
        <w:t>经考生本人网络报名、省教育厅审核，由指定高校单列相关专业招生计划、直接免试录取。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5.公示。</w:t>
      </w:r>
      <w:r>
        <w:rPr>
          <w:rFonts w:hint="eastAsia" w:ascii="仿宋" w:hAnsi="仿宋" w:eastAsia="仿宋" w:cs="仿宋"/>
          <w:i w:val="0"/>
          <w:iCs w:val="0"/>
          <w:caps w:val="0"/>
          <w:color w:val="000000"/>
          <w:spacing w:val="0"/>
          <w:sz w:val="15"/>
          <w:szCs w:val="15"/>
          <w:shd w:val="clear" w:fill="FFFFFF"/>
        </w:rPr>
        <w:t>招生高校须对拟录取的考生名单在本校工作网站或校园网公示，公示时间为7天。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黑体" w:hAnsi="宋体" w:eastAsia="黑体" w:cs="黑体"/>
          <w:i w:val="0"/>
          <w:iCs w:val="0"/>
          <w:caps w:val="0"/>
          <w:color w:val="000000"/>
          <w:spacing w:val="0"/>
          <w:sz w:val="15"/>
          <w:szCs w:val="15"/>
          <w:shd w:val="clear" w:fill="FFFFFF"/>
        </w:rPr>
        <w:t>六、复核备案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拟录取的专升本学生名单由招生高校报省教育厅复核备案。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黑体" w:hAnsi="宋体" w:eastAsia="黑体" w:cs="黑体"/>
          <w:i w:val="0"/>
          <w:iCs w:val="0"/>
          <w:caps w:val="0"/>
          <w:color w:val="000000"/>
          <w:spacing w:val="0"/>
          <w:sz w:val="15"/>
          <w:szCs w:val="15"/>
          <w:shd w:val="clear" w:fill="FFFFFF"/>
        </w:rPr>
        <w:t>七、收费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专升本报名考试费参照《湖北省物价局、湖北省财政厅关于规范教育招生考试收费有关问题的通知》（鄂价费〔2006〕107号）有关标准执行。专升本学生入学后的收费项目和标准与招生高校2025年同一专业全日制普通本科生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黑体" w:hAnsi="宋体" w:eastAsia="黑体" w:cs="黑体"/>
          <w:i w:val="0"/>
          <w:iCs w:val="0"/>
          <w:caps w:val="0"/>
          <w:color w:val="000000"/>
          <w:spacing w:val="0"/>
          <w:sz w:val="15"/>
          <w:szCs w:val="15"/>
          <w:shd w:val="clear" w:fill="FFFFFF"/>
        </w:rPr>
        <w:t>八、入学和培养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1.入学。</w:t>
      </w:r>
      <w:r>
        <w:rPr>
          <w:rFonts w:hint="eastAsia" w:ascii="仿宋" w:hAnsi="仿宋" w:eastAsia="仿宋" w:cs="仿宋"/>
          <w:i w:val="0"/>
          <w:iCs w:val="0"/>
          <w:caps w:val="0"/>
          <w:color w:val="000000"/>
          <w:spacing w:val="0"/>
          <w:sz w:val="15"/>
          <w:szCs w:val="15"/>
          <w:shd w:val="clear" w:fill="FFFFFF"/>
        </w:rPr>
        <w:t>按专升本招生规定录取的新生持录取通知书，按录取高校有关要求和规定的期限到校办理入学手续。招生高校按照有关规定进行新生入学资格复查。因故不能按期入学者，应向学校请假，未经请假或请假逾期者，视为放弃入学资格。退役大学生士兵凡录取后未报到、自行放弃入学资格的，此后不再享受免试专升本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2.培养。</w:t>
      </w:r>
      <w:r>
        <w:rPr>
          <w:rFonts w:hint="eastAsia" w:ascii="仿宋" w:hAnsi="仿宋" w:eastAsia="仿宋" w:cs="仿宋"/>
          <w:i w:val="0"/>
          <w:iCs w:val="0"/>
          <w:caps w:val="0"/>
          <w:color w:val="000000"/>
          <w:spacing w:val="0"/>
          <w:sz w:val="15"/>
          <w:szCs w:val="15"/>
          <w:shd w:val="clear" w:fill="FFFFFF"/>
        </w:rPr>
        <w:t>专升本学生（含退役大学生士兵）为高等学校普通全日制学生，学制2年或3年，不得采取非全日制学习形式就读，入学后不得转专业和转学。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3.毕业证书。</w:t>
      </w:r>
      <w:r>
        <w:rPr>
          <w:rFonts w:hint="eastAsia" w:ascii="仿宋" w:hAnsi="仿宋" w:eastAsia="仿宋" w:cs="仿宋"/>
          <w:i w:val="0"/>
          <w:iCs w:val="0"/>
          <w:caps w:val="0"/>
          <w:color w:val="000000"/>
          <w:spacing w:val="0"/>
          <w:sz w:val="15"/>
          <w:szCs w:val="15"/>
          <w:shd w:val="clear" w:fill="FFFFFF"/>
        </w:rPr>
        <w:t>专升本学生修完本科教学计划规定的内容达到毕业要求的，颁发本科毕业证书，其毕业证书上标注“在本校XX专业专科起点本科学习”，学习时间按进入本科阶段学习和颁发毕业证书实际时间填写。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黑体" w:hAnsi="宋体" w:eastAsia="黑体" w:cs="黑体"/>
          <w:i w:val="0"/>
          <w:iCs w:val="0"/>
          <w:caps w:val="0"/>
          <w:color w:val="000000"/>
          <w:spacing w:val="0"/>
          <w:sz w:val="15"/>
          <w:szCs w:val="15"/>
          <w:shd w:val="clear" w:fill="FFFFFF"/>
        </w:rPr>
        <w:t>九、工作要求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1.加强组织领导。</w:t>
      </w:r>
      <w:r>
        <w:rPr>
          <w:rFonts w:hint="eastAsia" w:ascii="仿宋" w:hAnsi="仿宋" w:eastAsia="仿宋" w:cs="仿宋"/>
          <w:i w:val="0"/>
          <w:iCs w:val="0"/>
          <w:caps w:val="0"/>
          <w:color w:val="000000"/>
          <w:spacing w:val="0"/>
          <w:sz w:val="15"/>
          <w:szCs w:val="15"/>
          <w:shd w:val="clear" w:fill="FFFFFF"/>
        </w:rPr>
        <w:t>各招生高校要切实提高政治站位，强化专升本工作主体责任。招生高校主要负责同志是本校专升本工作的第一责任人，要成立由校（院）长牵头、有关部门参加的工作领导小组，切实加强对专升本工作的组织领导和统筹协调，进一步健全工作机制，明确责任分工，从严从实做好考试招生各项工作。要完善突发事件应急预案，提升风险防范化解能力，确保出现突发情况后应急处置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2.严明工作纪律。</w:t>
      </w:r>
      <w:r>
        <w:rPr>
          <w:rFonts w:hint="eastAsia" w:ascii="仿宋" w:hAnsi="仿宋" w:eastAsia="仿宋" w:cs="仿宋"/>
          <w:i w:val="0"/>
          <w:iCs w:val="0"/>
          <w:caps w:val="0"/>
          <w:color w:val="000000"/>
          <w:spacing w:val="0"/>
          <w:sz w:val="15"/>
          <w:szCs w:val="15"/>
          <w:shd w:val="clear" w:fill="FFFFFF"/>
        </w:rPr>
        <w:t>各招生高校要依法依规、公平公正开展专升本工作，严格遵守高校招生“十严禁”“30个不得”“八项基本要求”等纪律要求；严禁以任何形式委托任何个人、社会机构参与专升本工作。省教育厅将会同有关部门加强涉专升本考试培训机构的规范治理，严厉打击虚假宣传、价格欺诈、组织或参与考试作弊、干扰破坏考试招生秩序等违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Style w:val="6"/>
          <w:rFonts w:hint="eastAsia" w:ascii="仿宋" w:hAnsi="仿宋" w:eastAsia="仿宋" w:cs="仿宋"/>
          <w:b/>
          <w:bCs/>
          <w:i w:val="0"/>
          <w:iCs w:val="0"/>
          <w:caps w:val="0"/>
          <w:color w:val="000000"/>
          <w:spacing w:val="0"/>
          <w:sz w:val="15"/>
          <w:szCs w:val="15"/>
          <w:shd w:val="clear" w:fill="FFFFFF"/>
        </w:rPr>
        <w:t>3.加强政策宣传。</w:t>
      </w:r>
      <w:r>
        <w:rPr>
          <w:rFonts w:hint="eastAsia" w:ascii="仿宋" w:hAnsi="仿宋" w:eastAsia="仿宋" w:cs="仿宋"/>
          <w:i w:val="0"/>
          <w:iCs w:val="0"/>
          <w:caps w:val="0"/>
          <w:color w:val="000000"/>
          <w:spacing w:val="0"/>
          <w:sz w:val="15"/>
          <w:szCs w:val="15"/>
          <w:shd w:val="clear" w:fill="FFFFFF"/>
        </w:rPr>
        <w:t>各招生高校要认真做好专升本招生考试相关政策的宣传解读和咨询答疑；要严格执行高校招生信息公开制度，及时公开报名、考试、录取等相关信息；要公开违规举报和咨询电话，及时妥善处置信访问题。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420"/>
        <w:jc w:val="both"/>
        <w:rPr>
          <w:sz w:val="15"/>
          <w:szCs w:val="15"/>
        </w:rPr>
      </w:pPr>
      <w:r>
        <w:rPr>
          <w:rFonts w:hint="eastAsia" w:ascii="仿宋" w:hAnsi="仿宋" w:eastAsia="仿宋" w:cs="仿宋"/>
          <w:i w:val="0"/>
          <w:iCs w:val="0"/>
          <w:caps w:val="0"/>
          <w:color w:val="000000"/>
          <w:spacing w:val="0"/>
          <w:sz w:val="15"/>
          <w:szCs w:val="15"/>
          <w:shd w:val="clear" w:fill="FFFFFF"/>
        </w:rPr>
        <w:t>我省退役大学生士兵专升本有关工作政策咨询省教育厅高校学生处，联系电话：027-87892996；技能大赛免试考生专升本有关工作政策咨询省教育厅职业教育与成人教育处，联系电话：027-87320737；其他专升本有关工作政策咨询省教育厅高等教育处，联系电话：027-87328031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315"/>
        <w:jc w:val="both"/>
        <w:rPr>
          <w:sz w:val="15"/>
          <w:szCs w:val="15"/>
        </w:rPr>
      </w:pPr>
      <w:r>
        <w:rPr>
          <w:rFonts w:hint="eastAsia" w:ascii="仿宋" w:hAnsi="仿宋" w:eastAsia="仿宋" w:cs="仿宋"/>
          <w:i w:val="0"/>
          <w:iCs w:val="0"/>
          <w:caps w:val="0"/>
          <w:color w:val="000000"/>
          <w:spacing w:val="0"/>
          <w:sz w:val="15"/>
          <w:szCs w:val="15"/>
          <w:shd w:val="clear" w:fill="FFFFFF"/>
        </w:rPr>
        <w:t>附件：</w:t>
      </w:r>
      <w:r>
        <w:rPr>
          <w:rFonts w:hint="eastAsia" w:ascii="仿宋" w:hAnsi="仿宋" w:eastAsia="仿宋" w:cs="仿宋"/>
          <w:i w:val="0"/>
          <w:iCs w:val="0"/>
          <w:caps w:val="0"/>
          <w:color w:val="0066CC"/>
          <w:spacing w:val="0"/>
          <w:sz w:val="15"/>
          <w:szCs w:val="15"/>
          <w:u w:val="none"/>
          <w:shd w:val="clear" w:fill="FFFFFF"/>
        </w:rPr>
        <w:fldChar w:fldCharType="begin"/>
      </w:r>
      <w:r>
        <w:rPr>
          <w:rFonts w:hint="eastAsia" w:ascii="仿宋" w:hAnsi="仿宋" w:eastAsia="仿宋" w:cs="仿宋"/>
          <w:i w:val="0"/>
          <w:iCs w:val="0"/>
          <w:caps w:val="0"/>
          <w:color w:val="0066CC"/>
          <w:spacing w:val="0"/>
          <w:sz w:val="15"/>
          <w:szCs w:val="15"/>
          <w:u w:val="none"/>
          <w:shd w:val="clear" w:fill="FFFFFF"/>
        </w:rPr>
        <w:instrText xml:space="preserve"> HYPERLINK "http://jyt.hubei.gov.cn/zfxxgk/zc_GK2020/qtzdgkwj_GK2020/202501/P020250126450825289581.pdf" \o "2025年湖北省普通高校专升本招生工作网址及咨询电话.pdf" </w:instrText>
      </w:r>
      <w:r>
        <w:rPr>
          <w:rFonts w:hint="eastAsia" w:ascii="仿宋" w:hAnsi="仿宋" w:eastAsia="仿宋" w:cs="仿宋"/>
          <w:i w:val="0"/>
          <w:iCs w:val="0"/>
          <w:caps w:val="0"/>
          <w:color w:val="0066CC"/>
          <w:spacing w:val="0"/>
          <w:sz w:val="15"/>
          <w:szCs w:val="15"/>
          <w:u w:val="none"/>
          <w:shd w:val="clear" w:fill="FFFFFF"/>
        </w:rPr>
        <w:fldChar w:fldCharType="separate"/>
      </w:r>
      <w:r>
        <w:rPr>
          <w:rStyle w:val="7"/>
          <w:rFonts w:hint="eastAsia" w:ascii="仿宋" w:hAnsi="仿宋" w:eastAsia="仿宋" w:cs="仿宋"/>
          <w:i w:val="0"/>
          <w:iCs w:val="0"/>
          <w:caps w:val="0"/>
          <w:color w:val="0066CC"/>
          <w:spacing w:val="0"/>
          <w:sz w:val="15"/>
          <w:szCs w:val="15"/>
          <w:u w:val="none"/>
          <w:shd w:val="clear" w:fill="FFFFFF"/>
        </w:rPr>
        <w:t>2025年湖北省普通高校专</w:t>
      </w:r>
      <w:bookmarkStart w:id="0" w:name="_GoBack"/>
      <w:bookmarkEnd w:id="0"/>
      <w:r>
        <w:rPr>
          <w:rStyle w:val="7"/>
          <w:rFonts w:hint="eastAsia" w:ascii="仿宋" w:hAnsi="仿宋" w:eastAsia="仿宋" w:cs="仿宋"/>
          <w:i w:val="0"/>
          <w:iCs w:val="0"/>
          <w:caps w:val="0"/>
          <w:color w:val="0066CC"/>
          <w:spacing w:val="0"/>
          <w:sz w:val="15"/>
          <w:szCs w:val="15"/>
          <w:u w:val="none"/>
          <w:shd w:val="clear" w:fill="FFFFFF"/>
        </w:rPr>
        <w:t>升本招生工作网址及咨询电话.pdf</w:t>
      </w:r>
      <w:r>
        <w:rPr>
          <w:rFonts w:hint="eastAsia" w:ascii="仿宋" w:hAnsi="仿宋" w:eastAsia="仿宋" w:cs="仿宋"/>
          <w:i w:val="0"/>
          <w:iCs w:val="0"/>
          <w:caps w:val="0"/>
          <w:color w:val="0066CC"/>
          <w:spacing w:val="0"/>
          <w:sz w:val="15"/>
          <w:szCs w:val="15"/>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315"/>
        <w:jc w:val="both"/>
        <w:rPr>
          <w:sz w:val="15"/>
          <w:szCs w:val="1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0"/>
        <w:jc w:val="right"/>
        <w:rPr>
          <w:sz w:val="15"/>
          <w:szCs w:val="15"/>
        </w:rPr>
      </w:pPr>
      <w:r>
        <w:rPr>
          <w:rFonts w:hint="eastAsia" w:ascii="仿宋" w:hAnsi="仿宋" w:eastAsia="仿宋" w:cs="仿宋"/>
          <w:i w:val="0"/>
          <w:iCs w:val="0"/>
          <w:caps w:val="0"/>
          <w:color w:val="000000"/>
          <w:spacing w:val="0"/>
          <w:sz w:val="15"/>
          <w:szCs w:val="15"/>
          <w:shd w:val="clear" w:fill="FFFFFF"/>
        </w:rPr>
        <w:t>湖北省教育厅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78" w:lineRule="atLeast"/>
        <w:ind w:left="0" w:right="0" w:firstLine="0"/>
        <w:jc w:val="right"/>
        <w:rPr>
          <w:sz w:val="15"/>
          <w:szCs w:val="15"/>
        </w:rPr>
      </w:pPr>
      <w:r>
        <w:rPr>
          <w:rFonts w:hint="eastAsia" w:ascii="仿宋" w:hAnsi="仿宋" w:eastAsia="仿宋" w:cs="仿宋"/>
          <w:i w:val="0"/>
          <w:iCs w:val="0"/>
          <w:caps w:val="0"/>
          <w:color w:val="333333"/>
          <w:spacing w:val="0"/>
          <w:sz w:val="15"/>
          <w:szCs w:val="15"/>
          <w:shd w:val="clear" w:fill="FFFFFF"/>
        </w:rPr>
        <w:t>2025年1月25日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Zjc4YjMzNThlY2FjOTY5YTJhZDM2ODY0NzA0NTQifQ=="/>
  </w:docVars>
  <w:rsids>
    <w:rsidRoot w:val="5BA00013"/>
    <w:rsid w:val="5BA00013"/>
    <w:rsid w:val="6DDE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2025-02-14T11:15:00Z</dcterms:created>
  <dc:creator>☔</dc:creator>
  <cp:lastModifiedBy>☔</cp:lastModifiedBy>
  <dcterms:modified xsi:type="dcterms:W3CDTF">2025-02-15T07:33:47Z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41B9D3A2D0BE4512898E86A1C335BF79_11</vt:lpwstr>
  </property>
</Properties>
</file>