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sz w:val="36"/>
          <w:szCs w:val="36"/>
        </w:rPr>
      </w:pPr>
      <w:r>
        <w:rPr>
          <w:rFonts w:hint="eastAsia" w:eastAsia="黑体"/>
          <w:sz w:val="36"/>
          <w:szCs w:val="36"/>
        </w:rPr>
        <w:t>武汉商学院</w:t>
      </w:r>
      <w:r>
        <w:rPr>
          <w:rFonts w:hint="eastAsia" w:eastAsia="黑体"/>
          <w:sz w:val="36"/>
          <w:szCs w:val="36"/>
          <w:lang w:eastAsia="zh-CN"/>
        </w:rPr>
        <w:t>通识选修课网报</w:t>
      </w:r>
      <w:r>
        <w:rPr>
          <w:rFonts w:hint="eastAsia" w:eastAsia="黑体"/>
          <w:sz w:val="36"/>
          <w:szCs w:val="36"/>
        </w:rPr>
        <w:t>操作流程</w:t>
      </w:r>
    </w:p>
    <w:p>
      <w:pPr>
        <w:ind w:firstLine="632" w:firstLineChars="300"/>
        <w:rPr>
          <w:rFonts w:eastAsia="黑体"/>
          <w:b/>
          <w:color w:val="FF0000"/>
          <w:szCs w:val="21"/>
        </w:rPr>
      </w:pPr>
      <w:r>
        <w:rPr>
          <w:rFonts w:hint="eastAsia" w:eastAsia="黑体"/>
          <w:b/>
          <w:color w:val="FF0000"/>
          <w:szCs w:val="21"/>
        </w:rPr>
        <w:t>浏览器要求：360浏览器、IE浏览器（IE8以上版本）</w:t>
      </w:r>
    </w:p>
    <w:p>
      <w:pPr>
        <w:jc w:val="left"/>
        <w:rPr>
          <w:rFonts w:hint="eastAsia"/>
          <w:szCs w:val="21"/>
        </w:rPr>
      </w:pPr>
    </w:p>
    <w:p>
      <w:pPr>
        <w:jc w:val="left"/>
        <w:rPr>
          <w:color w:val="000000"/>
          <w:szCs w:val="21"/>
        </w:rPr>
      </w:pPr>
      <w:r>
        <w:rPr>
          <w:rFonts w:hint="eastAsia"/>
          <w:szCs w:val="21"/>
        </w:rPr>
        <w:t>第一步：进入武汉商学院官网；官网网址：</w:t>
      </w:r>
      <w:r>
        <w:fldChar w:fldCharType="begin"/>
      </w:r>
      <w:r>
        <w:instrText xml:space="preserve"> HYPERLINK "http://www.whcsc.edu.cn/" </w:instrText>
      </w:r>
      <w:r>
        <w:fldChar w:fldCharType="separate"/>
      </w:r>
      <w:r>
        <w:rPr>
          <w:rStyle w:val="8"/>
          <w:szCs w:val="21"/>
        </w:rPr>
        <w:t>http://www.w</w:t>
      </w:r>
      <w:r>
        <w:rPr>
          <w:rStyle w:val="8"/>
          <w:rFonts w:hint="eastAsia"/>
          <w:szCs w:val="21"/>
          <w:lang w:val="en-US" w:eastAsia="zh-CN"/>
        </w:rPr>
        <w:t>bu</w:t>
      </w:r>
      <w:r>
        <w:rPr>
          <w:rStyle w:val="8"/>
          <w:szCs w:val="21"/>
        </w:rPr>
        <w:t>.edu.cn/</w:t>
      </w:r>
      <w:r>
        <w:rPr>
          <w:rStyle w:val="8"/>
          <w:szCs w:val="21"/>
        </w:rPr>
        <w:fldChar w:fldCharType="end"/>
      </w:r>
      <w:r>
        <w:rPr>
          <w:rFonts w:hint="eastAsia"/>
          <w:szCs w:val="21"/>
        </w:rPr>
        <w:t>（按照Ctrl单击可直接打开）打开官网如下图（1-1）</w:t>
      </w:r>
      <w:bookmarkStart w:id="0" w:name="_GoBack"/>
      <w:bookmarkEnd w:id="0"/>
    </w:p>
    <w:p>
      <w:pPr>
        <w:widowControl/>
        <w:jc w:val="left"/>
        <w:rPr>
          <w:rFonts w:ascii="宋体" w:hAnsi="宋体" w:cs="宋体"/>
          <w:kern w:val="0"/>
          <w:sz w:val="24"/>
        </w:rPr>
      </w:pPr>
      <w:r>
        <w:rPr>
          <w:rFonts w:ascii="宋体" w:hAnsi="宋体" w:cs="宋体"/>
          <w:kern w:val="0"/>
          <w:sz w:val="24"/>
        </w:rPr>
        <w:drawing>
          <wp:inline distT="0" distB="0" distL="0" distR="0">
            <wp:extent cx="6276975" cy="4019550"/>
            <wp:effectExtent l="19050" t="0" r="9525" b="0"/>
            <wp:docPr id="1" name="图片 1" descr="W1WTW[(A}89]DI}($%D_L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1WTW[(A}89]DI}($%D_LE0"/>
                    <pic:cNvPicPr>
                      <a:picLocks noChangeAspect="1" noChangeArrowheads="1"/>
                    </pic:cNvPicPr>
                  </pic:nvPicPr>
                  <pic:blipFill>
                    <a:blip r:embed="rId6" cstate="print"/>
                    <a:srcRect/>
                    <a:stretch>
                      <a:fillRect/>
                    </a:stretch>
                  </pic:blipFill>
                  <pic:spPr>
                    <a:xfrm>
                      <a:off x="0" y="0"/>
                      <a:ext cx="6276975" cy="4019550"/>
                    </a:xfrm>
                    <a:prstGeom prst="rect">
                      <a:avLst/>
                    </a:prstGeom>
                    <a:noFill/>
                    <a:ln w="9525">
                      <a:noFill/>
                      <a:miter lim="800000"/>
                      <a:headEnd/>
                      <a:tailEnd/>
                    </a:ln>
                  </pic:spPr>
                </pic:pic>
              </a:graphicData>
            </a:graphic>
          </wp:inline>
        </w:drawing>
      </w:r>
    </w:p>
    <w:p>
      <w:pPr>
        <w:jc w:val="center"/>
        <w:rPr>
          <w:szCs w:val="21"/>
        </w:rPr>
      </w:pPr>
      <w:r>
        <w:rPr>
          <w:rFonts w:hint="eastAsia"/>
          <w:szCs w:val="21"/>
        </w:rPr>
        <w:t>图（1-1）</w:t>
      </w:r>
    </w:p>
    <w:p>
      <w:pPr>
        <w:jc w:val="left"/>
        <w:rPr>
          <w:color w:val="000000"/>
          <w:szCs w:val="21"/>
        </w:rPr>
      </w:pPr>
      <w:r>
        <w:rPr>
          <w:rFonts w:hint="eastAsia"/>
          <w:szCs w:val="21"/>
        </w:rPr>
        <w:t>第二步：点击</w:t>
      </w:r>
      <w:r>
        <w:rPr>
          <w:rFonts w:hint="eastAsia"/>
          <w:b/>
          <w:color w:val="FF0000"/>
          <w:szCs w:val="21"/>
        </w:rPr>
        <w:t>“智慧校园”</w:t>
      </w:r>
      <w:r>
        <w:rPr>
          <w:rFonts w:hint="eastAsia"/>
          <w:b/>
          <w:color w:val="000000"/>
          <w:szCs w:val="21"/>
        </w:rPr>
        <w:t xml:space="preserve"> </w:t>
      </w:r>
      <w:r>
        <w:rPr>
          <w:rFonts w:hint="eastAsia"/>
          <w:color w:val="000000"/>
          <w:szCs w:val="21"/>
        </w:rPr>
        <w:t>进入智慧校园登录平台；如下图（1-2）</w:t>
      </w:r>
    </w:p>
    <w:p>
      <w:pPr>
        <w:widowControl/>
        <w:jc w:val="center"/>
        <w:rPr>
          <w:rFonts w:ascii="宋体" w:hAnsi="宋体" w:cs="宋体"/>
          <w:kern w:val="0"/>
          <w:sz w:val="24"/>
        </w:rPr>
      </w:pPr>
      <w:r>
        <w:rPr>
          <w:rFonts w:ascii="宋体" w:hAnsi="宋体" w:cs="宋体"/>
          <w:kern w:val="0"/>
          <w:sz w:val="24"/>
        </w:rPr>
        <w:drawing>
          <wp:inline distT="0" distB="0" distL="0" distR="0">
            <wp:extent cx="5419725" cy="2440940"/>
            <wp:effectExtent l="19050" t="0" r="9525" b="0"/>
            <wp:docPr id="2" name="图片 2" descr="G5)R[4NYKULO$$_Z{~HV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5)R[4NYKULO$$_Z{~HVPS4"/>
                    <pic:cNvPicPr>
                      <a:picLocks noChangeAspect="1" noChangeArrowheads="1"/>
                    </pic:cNvPicPr>
                  </pic:nvPicPr>
                  <pic:blipFill>
                    <a:blip r:embed="rId7" cstate="print"/>
                    <a:srcRect/>
                    <a:stretch>
                      <a:fillRect/>
                    </a:stretch>
                  </pic:blipFill>
                  <pic:spPr>
                    <a:xfrm>
                      <a:off x="0" y="0"/>
                      <a:ext cx="5419725" cy="2441474"/>
                    </a:xfrm>
                    <a:prstGeom prst="rect">
                      <a:avLst/>
                    </a:prstGeom>
                    <a:noFill/>
                    <a:ln w="9525">
                      <a:noFill/>
                      <a:miter lim="800000"/>
                      <a:headEnd/>
                      <a:tailEnd/>
                    </a:ln>
                  </pic:spPr>
                </pic:pic>
              </a:graphicData>
            </a:graphic>
          </wp:inline>
        </w:drawing>
      </w:r>
    </w:p>
    <w:p>
      <w:pPr>
        <w:widowControl/>
        <w:jc w:val="center"/>
        <w:rPr>
          <w:rFonts w:ascii="宋体" w:hAnsi="宋体" w:cs="宋体"/>
          <w:kern w:val="0"/>
          <w:szCs w:val="21"/>
        </w:rPr>
      </w:pPr>
      <w:r>
        <w:rPr>
          <w:rFonts w:hint="eastAsia" w:ascii="宋体" w:hAnsi="宋体" w:cs="宋体"/>
          <w:kern w:val="0"/>
          <w:szCs w:val="21"/>
        </w:rPr>
        <w:t>图（1-2）</w:t>
      </w:r>
    </w:p>
    <w:p>
      <w:pPr>
        <w:rPr>
          <w:rFonts w:ascii="宋体" w:hAnsi="宋体" w:cs="宋体"/>
          <w:kern w:val="0"/>
          <w:sz w:val="24"/>
        </w:rPr>
      </w:pPr>
    </w:p>
    <w:p>
      <w:pPr>
        <w:widowControl/>
        <w:jc w:val="left"/>
        <w:rPr>
          <w:rFonts w:ascii="宋体" w:hAnsi="宋体" w:cs="宋体"/>
          <w:kern w:val="0"/>
          <w:sz w:val="24"/>
        </w:rPr>
      </w:pPr>
      <w:r>
        <w:rPr>
          <w:rFonts w:hint="eastAsia" w:ascii="宋体" w:hAnsi="宋体" w:cs="宋体"/>
          <w:kern w:val="0"/>
          <w:sz w:val="24"/>
        </w:rPr>
        <w:t>第三步：输入“用户名”和“密码”，点击“登录”按钮进行登录；登录完成之后如图（1-3）</w:t>
      </w:r>
    </w:p>
    <w:p>
      <w:pPr>
        <w:jc w:val="left"/>
        <w:rPr>
          <w:b/>
          <w:color w:val="FF0000"/>
          <w:szCs w:val="21"/>
        </w:rPr>
      </w:pPr>
      <w:r>
        <w:rPr>
          <w:rFonts w:hint="eastAsia"/>
          <w:b/>
          <w:color w:val="FF0000"/>
          <w:szCs w:val="21"/>
        </w:rPr>
        <w:t>说明：用户名：教师工号（新工号 例如：2015XXXX），密码：初始密码为身份证后六位</w:t>
      </w:r>
    </w:p>
    <w:p>
      <w:pPr>
        <w:widowControl/>
        <w:jc w:val="left"/>
        <w:rPr>
          <w:rFonts w:ascii="宋体" w:hAnsi="宋体" w:cs="宋体"/>
          <w:kern w:val="0"/>
          <w:sz w:val="24"/>
        </w:rPr>
      </w:pPr>
      <w:r>
        <w:rPr>
          <w:rFonts w:ascii="宋体" w:hAnsi="宋体" w:cs="宋体"/>
          <w:kern w:val="0"/>
          <w:sz w:val="24"/>
        </w:rPr>
        <w:drawing>
          <wp:inline distT="0" distB="0" distL="0" distR="0">
            <wp:extent cx="6096000" cy="4429125"/>
            <wp:effectExtent l="19050" t="0" r="0" b="0"/>
            <wp:docPr id="3" name="图片 3" descr="O}YZPL867(P1_XEX2D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YZPL867(P1_XEX2DF{1$5"/>
                    <pic:cNvPicPr>
                      <a:picLocks noChangeAspect="1" noChangeArrowheads="1"/>
                    </pic:cNvPicPr>
                  </pic:nvPicPr>
                  <pic:blipFill>
                    <a:blip r:embed="rId8" cstate="print"/>
                    <a:srcRect/>
                    <a:stretch>
                      <a:fillRect/>
                    </a:stretch>
                  </pic:blipFill>
                  <pic:spPr>
                    <a:xfrm>
                      <a:off x="0" y="0"/>
                      <a:ext cx="6096000" cy="4429125"/>
                    </a:xfrm>
                    <a:prstGeom prst="rect">
                      <a:avLst/>
                    </a:prstGeom>
                    <a:noFill/>
                    <a:ln w="9525">
                      <a:noFill/>
                      <a:miter lim="800000"/>
                      <a:headEnd/>
                      <a:tailEnd/>
                    </a:ln>
                  </pic:spPr>
                </pic:pic>
              </a:graphicData>
            </a:graphic>
          </wp:inline>
        </w:drawing>
      </w:r>
    </w:p>
    <w:p>
      <w:pPr>
        <w:widowControl/>
        <w:jc w:val="center"/>
        <w:rPr>
          <w:rFonts w:hint="eastAsia" w:ascii="宋体" w:hAnsi="宋体" w:cs="宋体"/>
          <w:kern w:val="0"/>
          <w:sz w:val="24"/>
        </w:rPr>
      </w:pPr>
      <w:r>
        <w:rPr>
          <w:rFonts w:hint="eastAsia" w:ascii="宋体" w:hAnsi="宋体" w:cs="宋体"/>
          <w:kern w:val="0"/>
          <w:sz w:val="24"/>
        </w:rPr>
        <w:t>图（1-3）</w:t>
      </w:r>
    </w:p>
    <w:p>
      <w:pPr>
        <w:widowControl/>
        <w:jc w:val="center"/>
        <w:rPr>
          <w:rFonts w:ascii="宋体" w:hAnsi="宋体" w:cs="宋体"/>
          <w:kern w:val="0"/>
          <w:sz w:val="24"/>
        </w:rPr>
      </w:pPr>
    </w:p>
    <w:p>
      <w:pPr>
        <w:widowControl/>
        <w:jc w:val="left"/>
        <w:rPr>
          <w:rFonts w:ascii="宋体" w:hAnsi="宋体" w:cs="宋体"/>
          <w:color w:val="000000"/>
          <w:kern w:val="0"/>
          <w:sz w:val="24"/>
        </w:rPr>
      </w:pPr>
      <w:r>
        <w:rPr>
          <w:rFonts w:hint="eastAsia" w:ascii="宋体" w:hAnsi="宋体" w:cs="宋体"/>
          <w:kern w:val="0"/>
          <w:sz w:val="24"/>
        </w:rPr>
        <w:t>第四步：点击</w:t>
      </w:r>
      <w:r>
        <w:rPr>
          <w:rFonts w:hint="eastAsia" w:ascii="宋体" w:hAnsi="宋体" w:cs="宋体"/>
          <w:b/>
          <w:color w:val="FF0000"/>
          <w:kern w:val="0"/>
          <w:sz w:val="24"/>
        </w:rPr>
        <w:t>“教务系统”</w:t>
      </w:r>
      <w:r>
        <w:rPr>
          <w:rFonts w:hint="eastAsia" w:ascii="宋体" w:hAnsi="宋体" w:cs="宋体"/>
          <w:color w:val="000000"/>
          <w:kern w:val="0"/>
          <w:sz w:val="24"/>
        </w:rPr>
        <w:t>如图（1-3）红色方框中的按钮，进入教务系统如下图（1-4）</w:t>
      </w:r>
    </w:p>
    <w:p>
      <w:pPr>
        <w:widowControl/>
        <w:jc w:val="left"/>
        <w:rPr>
          <w:rFonts w:ascii="宋体" w:hAnsi="宋体" w:cs="宋体"/>
          <w:color w:val="000000"/>
          <w:kern w:val="0"/>
          <w:sz w:val="24"/>
        </w:rPr>
      </w:pPr>
      <w:r>
        <w:rPr>
          <w:rFonts w:hint="eastAsia" w:ascii="宋体" w:hAnsi="宋体" w:cs="宋体"/>
          <w:color w:val="000000"/>
          <w:kern w:val="0"/>
          <w:sz w:val="24"/>
        </w:rPr>
        <w:t>在进入教学系统中，点击</w:t>
      </w:r>
      <w:r>
        <w:rPr>
          <w:rFonts w:hint="eastAsia" w:ascii="宋体" w:hAnsi="宋体" w:cs="宋体"/>
          <w:b/>
          <w:color w:val="FF0000"/>
          <w:kern w:val="0"/>
          <w:sz w:val="24"/>
        </w:rPr>
        <w:t>“教学服务”</w:t>
      </w:r>
      <w:r>
        <w:rPr>
          <w:rFonts w:hint="eastAsia" w:ascii="宋体" w:hAnsi="宋体" w:cs="宋体"/>
          <w:color w:val="000000"/>
          <w:kern w:val="0"/>
          <w:sz w:val="24"/>
        </w:rPr>
        <w:t>，如下图（1-4）中红色方框中的按钮，在教学服务管理界面中选择</w:t>
      </w:r>
      <w:r>
        <w:rPr>
          <w:rFonts w:hint="eastAsia" w:ascii="宋体" w:hAnsi="宋体" w:cs="宋体"/>
          <w:b/>
          <w:color w:val="FF0000"/>
          <w:kern w:val="0"/>
          <w:sz w:val="24"/>
        </w:rPr>
        <w:t>“素质开课申请”</w:t>
      </w:r>
      <w:r>
        <w:rPr>
          <w:rFonts w:hint="eastAsia" w:ascii="宋体" w:hAnsi="宋体" w:cs="宋体"/>
          <w:color w:val="000000" w:themeColor="text1"/>
          <w:kern w:val="0"/>
          <w:sz w:val="24"/>
        </w:rPr>
        <w:t>，点击</w:t>
      </w:r>
      <w:r>
        <w:rPr>
          <w:rFonts w:hint="eastAsia" w:ascii="宋体" w:hAnsi="宋体" w:cs="宋体"/>
          <w:b/>
          <w:color w:val="FF0000"/>
          <w:kern w:val="0"/>
          <w:sz w:val="24"/>
        </w:rPr>
        <w:t>“申请”</w:t>
      </w:r>
      <w:r>
        <w:rPr>
          <w:rFonts w:hint="eastAsia" w:ascii="宋体" w:hAnsi="宋体" w:cs="宋体"/>
          <w:color w:val="000000" w:themeColor="text1"/>
          <w:kern w:val="0"/>
          <w:sz w:val="24"/>
        </w:rPr>
        <w:t>按钮进行素质课的开课申请；</w:t>
      </w:r>
    </w:p>
    <w:p>
      <w:pPr>
        <w:widowControl/>
        <w:jc w:val="left"/>
        <w:rPr>
          <w:rFonts w:ascii="宋体" w:hAnsi="宋体" w:cs="宋体"/>
          <w:color w:val="000000"/>
          <w:kern w:val="0"/>
          <w:sz w:val="24"/>
        </w:rPr>
      </w:pPr>
    </w:p>
    <w:p>
      <w:pPr>
        <w:widowControl/>
        <w:jc w:val="left"/>
        <w:rPr>
          <w:rFonts w:ascii="宋体" w:hAnsi="宋体" w:cs="宋体"/>
          <w:color w:val="000000"/>
          <w:kern w:val="0"/>
          <w:sz w:val="24"/>
        </w:rPr>
      </w:pPr>
    </w:p>
    <w:p>
      <w:pPr>
        <w:widowControl/>
        <w:jc w:val="left"/>
        <w:rPr>
          <w:rFonts w:ascii="宋体" w:hAnsi="宋体" w:cs="宋体"/>
          <w:kern w:val="0"/>
          <w:sz w:val="24"/>
        </w:rPr>
      </w:pPr>
      <w:r>
        <w:rPr>
          <w:rFonts w:ascii="宋体" w:hAnsi="宋体" w:cs="宋体"/>
          <w:kern w:val="0"/>
          <w:sz w:val="24"/>
        </w:rPr>
        <w:t xml:space="preserve"> </w:t>
      </w:r>
      <w:r>
        <w:rPr>
          <w:rFonts w:ascii="宋体" w:hAnsi="宋体" w:cs="宋体"/>
          <w:kern w:val="0"/>
          <w:sz w:val="24"/>
        </w:rPr>
        <w:drawing>
          <wp:inline distT="0" distB="0" distL="0" distR="0">
            <wp:extent cx="5876925" cy="2870200"/>
            <wp:effectExtent l="19050" t="0" r="9525" b="0"/>
            <wp:docPr id="20" name="图片 3" descr="C:\Users\Administrator\AppData\Roaming\Tencent\Users\453710098\QQ\WinTemp\RichOle\][DQ(@I%~K5%GE_DBKZ[6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AppData\Roaming\Tencent\Users\453710098\QQ\WinTemp\RichOle\][DQ(@I%~K5%GE_DBKZ[6XW.png"/>
                    <pic:cNvPicPr>
                      <a:picLocks noChangeAspect="1" noChangeArrowheads="1"/>
                    </pic:cNvPicPr>
                  </pic:nvPicPr>
                  <pic:blipFill>
                    <a:blip r:embed="rId9" cstate="print"/>
                    <a:srcRect/>
                    <a:stretch>
                      <a:fillRect/>
                    </a:stretch>
                  </pic:blipFill>
                  <pic:spPr>
                    <a:xfrm>
                      <a:off x="0" y="0"/>
                      <a:ext cx="5876925" cy="2870522"/>
                    </a:xfrm>
                    <a:prstGeom prst="rect">
                      <a:avLst/>
                    </a:prstGeom>
                    <a:noFill/>
                    <a:ln w="9525">
                      <a:noFill/>
                      <a:miter lim="800000"/>
                      <a:headEnd/>
                      <a:tailEnd/>
                    </a:ln>
                  </pic:spPr>
                </pic:pic>
              </a:graphicData>
            </a:graphic>
          </wp:inline>
        </w:drawing>
      </w:r>
    </w:p>
    <w:p>
      <w:pPr>
        <w:widowControl/>
        <w:jc w:val="center"/>
        <w:rPr>
          <w:rFonts w:ascii="宋体" w:hAnsi="宋体" w:cs="宋体"/>
          <w:kern w:val="0"/>
          <w:sz w:val="24"/>
        </w:rPr>
      </w:pPr>
      <w:r>
        <w:rPr>
          <w:rFonts w:hint="eastAsia"/>
          <w:color w:val="000000"/>
          <w:szCs w:val="21"/>
        </w:rPr>
        <w:t>图（1-4）</w:t>
      </w:r>
    </w:p>
    <w:p>
      <w:pPr>
        <w:jc w:val="left"/>
        <w:rPr>
          <w:color w:val="000000" w:themeColor="text1"/>
          <w:szCs w:val="21"/>
        </w:rPr>
      </w:pPr>
      <w:r>
        <w:rPr>
          <w:rFonts w:hint="eastAsia"/>
          <w:color w:val="000000"/>
          <w:szCs w:val="21"/>
        </w:rPr>
        <w:t>第五步：1、点击申请之后弹出如图（1-5）界面，进入素质课申请界面，在素质课申请界面中</w:t>
      </w:r>
      <w:r>
        <w:rPr>
          <w:rFonts w:hint="eastAsia"/>
          <w:b/>
          <w:color w:val="FF0000"/>
          <w:szCs w:val="21"/>
        </w:rPr>
        <w:t xml:space="preserve">“*” </w:t>
      </w:r>
      <w:r>
        <w:rPr>
          <w:rFonts w:hint="eastAsia"/>
          <w:color w:val="000000" w:themeColor="text1"/>
          <w:szCs w:val="21"/>
        </w:rPr>
        <w:t>为必填项目；选择课程名称时，如系统中没有相应的素质课需要把相应的素质课的详细信息提交到教研科进行相应的增加，增加完成之后在进行相应的选择。</w:t>
      </w:r>
    </w:p>
    <w:p>
      <w:pPr>
        <w:rPr>
          <w:color w:val="7030A0"/>
          <w:szCs w:val="21"/>
        </w:rPr>
      </w:pPr>
      <w:r>
        <w:rPr>
          <w:rFonts w:hint="eastAsia"/>
          <w:b/>
          <w:color w:val="FF0000"/>
          <w:szCs w:val="21"/>
        </w:rPr>
        <w:t>备注：①课程：</w:t>
      </w:r>
      <w:r>
        <w:rPr>
          <w:rFonts w:hint="eastAsia"/>
          <w:color w:val="7030A0"/>
          <w:szCs w:val="21"/>
        </w:rPr>
        <w:t>选择或新增，选中选择这个选项，课程名称可以点击“</w:t>
      </w:r>
      <w:r>
        <w:rPr>
          <w:rFonts w:ascii="宋体" w:hAnsi="宋体" w:cs="宋体"/>
          <w:kern w:val="0"/>
          <w:sz w:val="24"/>
        </w:rPr>
        <w:drawing>
          <wp:inline distT="0" distB="0" distL="0" distR="0">
            <wp:extent cx="285750" cy="178435"/>
            <wp:effectExtent l="19050" t="0" r="0" b="0"/>
            <wp:docPr id="22" name="图片 7" descr="C:\Users\Administrator\AppData\Roaming\Tencent\Users\2853175653\QQEIM\WinTemp\RichOle\TGM5@G6150%%%B$O[GLM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Administrator\AppData\Roaming\Tencent\Users\2853175653\QQEIM\WinTemp\RichOle\TGM5@G6150%%%B$O[GLMK19.jpg"/>
                    <pic:cNvPicPr>
                      <a:picLocks noChangeAspect="1" noChangeArrowheads="1"/>
                    </pic:cNvPicPr>
                  </pic:nvPicPr>
                  <pic:blipFill>
                    <a:blip r:embed="rId10" cstate="print"/>
                    <a:srcRect/>
                    <a:stretch>
                      <a:fillRect/>
                    </a:stretch>
                  </pic:blipFill>
                  <pic:spPr>
                    <a:xfrm>
                      <a:off x="0" y="0"/>
                      <a:ext cx="285750" cy="178594"/>
                    </a:xfrm>
                    <a:prstGeom prst="rect">
                      <a:avLst/>
                    </a:prstGeom>
                    <a:noFill/>
                    <a:ln w="9525">
                      <a:noFill/>
                      <a:miter lim="800000"/>
                      <a:headEnd/>
                      <a:tailEnd/>
                    </a:ln>
                  </pic:spPr>
                </pic:pic>
              </a:graphicData>
            </a:graphic>
          </wp:inline>
        </w:drawing>
      </w:r>
      <w:r>
        <w:rPr>
          <w:rFonts w:hint="eastAsia"/>
          <w:color w:val="7030A0"/>
          <w:szCs w:val="21"/>
        </w:rPr>
        <w:t>”按钮从课程总库总进行选择，如果课程总库中没有相应的课程可以选择</w:t>
      </w:r>
      <w:r>
        <w:rPr>
          <w:rFonts w:hint="eastAsia"/>
          <w:b/>
          <w:color w:val="FF0000"/>
          <w:szCs w:val="21"/>
        </w:rPr>
        <w:t>“新增”</w:t>
      </w:r>
      <w:r>
        <w:rPr>
          <w:rFonts w:hint="eastAsia"/>
          <w:color w:val="7030A0"/>
          <w:szCs w:val="21"/>
        </w:rPr>
        <w:t>按钮进行课程新增；</w:t>
      </w:r>
    </w:p>
    <w:p>
      <w:pPr>
        <w:rPr>
          <w:b/>
          <w:color w:val="FF0000"/>
          <w:szCs w:val="21"/>
        </w:rPr>
      </w:pPr>
      <w:r>
        <w:rPr>
          <w:rFonts w:hint="eastAsia"/>
          <w:b/>
          <w:color w:val="FF0000"/>
          <w:szCs w:val="21"/>
        </w:rPr>
        <w:t>②开课单位：</w:t>
      </w:r>
      <w:r>
        <w:rPr>
          <w:rFonts w:hint="eastAsia"/>
          <w:color w:val="7030A0"/>
          <w:szCs w:val="21"/>
        </w:rPr>
        <w:t>课程名称从课程库中选择，开课单位可以自动带出来，如果是新增的需要选择“开课单位”；</w:t>
      </w:r>
      <w:r>
        <w:rPr>
          <w:rFonts w:hint="eastAsia"/>
          <w:b/>
          <w:color w:val="FF0000"/>
          <w:szCs w:val="21"/>
        </w:rPr>
        <w:t>开课学期、课程编号、素质课类别、课程类别、课程属性、授课方式、考核方式、考试类别等相应的字段都按照实际情况进行填写；</w:t>
      </w:r>
    </w:p>
    <w:p>
      <w:pPr>
        <w:rPr>
          <w:b/>
          <w:color w:val="FF0000"/>
          <w:szCs w:val="21"/>
        </w:rPr>
      </w:pPr>
      <w:r>
        <w:rPr>
          <w:rFonts w:hint="eastAsia"/>
          <w:b/>
          <w:color w:val="FF0000"/>
          <w:szCs w:val="21"/>
        </w:rPr>
        <w:t>说明：总学时、周学时、学分等信息请仔细填写；</w:t>
      </w:r>
    </w:p>
    <w:p>
      <w:pPr>
        <w:widowControl/>
        <w:jc w:val="left"/>
        <w:rPr>
          <w:rFonts w:ascii="宋体" w:hAnsi="宋体" w:cs="宋体"/>
          <w:kern w:val="0"/>
          <w:sz w:val="24"/>
        </w:rPr>
      </w:pPr>
      <w:r>
        <w:rPr>
          <w:rFonts w:ascii="宋体" w:hAnsi="宋体" w:cs="宋体"/>
          <w:kern w:val="0"/>
          <w:sz w:val="24"/>
        </w:rPr>
        <w:drawing>
          <wp:inline distT="0" distB="0" distL="0" distR="0">
            <wp:extent cx="5905500" cy="2483485"/>
            <wp:effectExtent l="19050" t="0" r="0" b="0"/>
            <wp:docPr id="5" name="图片 5" descr="C:\Users\Administrator\AppData\Roaming\Tencent\Users\2853175653\QQEIM\WinTemp\RichOle\K{OF(T_C5GYDFW@Y_KQH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2853175653\QQEIM\WinTemp\RichOle\K{OF(T_C5GYDFW@Y_KQH1~W.jpg"/>
                    <pic:cNvPicPr>
                      <a:picLocks noChangeAspect="1" noChangeArrowheads="1"/>
                    </pic:cNvPicPr>
                  </pic:nvPicPr>
                  <pic:blipFill>
                    <a:blip r:embed="rId11" cstate="print"/>
                    <a:srcRect/>
                    <a:stretch>
                      <a:fillRect/>
                    </a:stretch>
                  </pic:blipFill>
                  <pic:spPr>
                    <a:xfrm>
                      <a:off x="0" y="0"/>
                      <a:ext cx="5926205" cy="2492376"/>
                    </a:xfrm>
                    <a:prstGeom prst="rect">
                      <a:avLst/>
                    </a:prstGeom>
                    <a:noFill/>
                    <a:ln w="9525">
                      <a:noFill/>
                      <a:miter lim="800000"/>
                      <a:headEnd/>
                      <a:tailEnd/>
                    </a:ln>
                  </pic:spPr>
                </pic:pic>
              </a:graphicData>
            </a:graphic>
          </wp:inline>
        </w:drawing>
      </w:r>
    </w:p>
    <w:p>
      <w:pPr>
        <w:jc w:val="center"/>
        <w:rPr>
          <w:color w:val="000000"/>
          <w:szCs w:val="21"/>
        </w:rPr>
      </w:pPr>
      <w:r>
        <w:rPr>
          <w:rFonts w:hint="eastAsia"/>
          <w:color w:val="000000"/>
          <w:szCs w:val="21"/>
        </w:rPr>
        <w:t>图（1-5）</w:t>
      </w:r>
    </w:p>
    <w:p>
      <w:pPr>
        <w:rPr>
          <w:rFonts w:ascii="宋体" w:hAnsi="宋体" w:cs="宋体"/>
          <w:kern w:val="0"/>
          <w:sz w:val="24"/>
        </w:rPr>
      </w:pPr>
      <w:r>
        <w:rPr>
          <w:rFonts w:hint="eastAsia"/>
          <w:color w:val="000000" w:themeColor="text1"/>
          <w:szCs w:val="21"/>
        </w:rPr>
        <w:t>2、素质课开课限选专业，可以根据上课年级、培养层次、上课专业等信息进行限选。在选择完成相应的素质课限选，选择完成相应的素质课限选条件之后，然后点击</w:t>
      </w:r>
      <w:r>
        <w:rPr>
          <w:rFonts w:ascii="宋体" w:hAnsi="宋体" w:cs="宋体"/>
          <w:kern w:val="0"/>
          <w:sz w:val="24"/>
        </w:rPr>
        <w:drawing>
          <wp:inline distT="0" distB="0" distL="0" distR="0">
            <wp:extent cx="435610" cy="285750"/>
            <wp:effectExtent l="19050" t="0" r="2382" b="0"/>
            <wp:docPr id="9" name="图片 9" descr="C:\Users\Administrator\AppData\Roaming\Tencent\Users\2853175653\QQEIM\WinTemp\RichOle\@~VH8SH(69SK]V$RW8}3T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2853175653\QQEIM\WinTemp\RichOle\@~VH8SH(69SK]V$RW8}3TX7.jpg"/>
                    <pic:cNvPicPr>
                      <a:picLocks noChangeAspect="1" noChangeArrowheads="1"/>
                    </pic:cNvPicPr>
                  </pic:nvPicPr>
                  <pic:blipFill>
                    <a:blip r:embed="rId12" cstate="print"/>
                    <a:srcRect/>
                    <a:stretch>
                      <a:fillRect/>
                    </a:stretch>
                  </pic:blipFill>
                  <pic:spPr>
                    <a:xfrm>
                      <a:off x="0" y="0"/>
                      <a:ext cx="435768" cy="285750"/>
                    </a:xfrm>
                    <a:prstGeom prst="rect">
                      <a:avLst/>
                    </a:prstGeom>
                    <a:noFill/>
                    <a:ln w="9525">
                      <a:noFill/>
                      <a:miter lim="800000"/>
                      <a:headEnd/>
                      <a:tailEnd/>
                    </a:ln>
                  </pic:spPr>
                </pic:pic>
              </a:graphicData>
            </a:graphic>
          </wp:inline>
        </w:drawing>
      </w:r>
      <w:r>
        <w:rPr>
          <w:rFonts w:hint="eastAsia"/>
          <w:color w:val="000000" w:themeColor="text1"/>
          <w:szCs w:val="21"/>
        </w:rPr>
        <w:t>按钮进行条件的设置，然后在已设置值中可以看到设置的相应的条件</w:t>
      </w:r>
      <w:r>
        <w:rPr>
          <w:rFonts w:hint="eastAsia" w:ascii="宋体" w:hAnsi="宋体" w:cs="宋体"/>
          <w:kern w:val="0"/>
          <w:sz w:val="24"/>
        </w:rPr>
        <w:t>，如下图(1-5-2)所示</w:t>
      </w:r>
    </w:p>
    <w:p>
      <w:pPr>
        <w:jc w:val="left"/>
        <w:rPr>
          <w:color w:val="000000" w:themeColor="text1"/>
          <w:szCs w:val="21"/>
        </w:rPr>
      </w:pPr>
    </w:p>
    <w:p>
      <w:pPr>
        <w:widowControl/>
        <w:jc w:val="left"/>
        <w:rPr>
          <w:rFonts w:ascii="宋体" w:hAnsi="宋体" w:cs="宋体"/>
          <w:kern w:val="0"/>
          <w:sz w:val="24"/>
        </w:rPr>
      </w:pPr>
      <w:r>
        <w:rPr>
          <w:rFonts w:ascii="宋体" w:hAnsi="宋体" w:cs="宋体"/>
          <w:kern w:val="0"/>
          <w:sz w:val="24"/>
        </w:rPr>
        <w:drawing>
          <wp:inline distT="0" distB="0" distL="0" distR="0">
            <wp:extent cx="5981700" cy="2051050"/>
            <wp:effectExtent l="19050" t="0" r="0" b="0"/>
            <wp:docPr id="7" name="图片 7" descr="C:\Users\Administrator\AppData\Roaming\Tencent\Users\2853175653\QQEIM\WinTemp\RichOle\%EA57EHXHA}%DH}9G8}Q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2853175653\QQEIM\WinTemp\RichOle\%EA57EHXHA}%DH}9G8}Q4]S.jpg"/>
                    <pic:cNvPicPr>
                      <a:picLocks noChangeAspect="1" noChangeArrowheads="1"/>
                    </pic:cNvPicPr>
                  </pic:nvPicPr>
                  <pic:blipFill>
                    <a:blip r:embed="rId13" cstate="print"/>
                    <a:srcRect/>
                    <a:stretch>
                      <a:fillRect/>
                    </a:stretch>
                  </pic:blipFill>
                  <pic:spPr>
                    <a:xfrm>
                      <a:off x="0" y="0"/>
                      <a:ext cx="5982548" cy="2051757"/>
                    </a:xfrm>
                    <a:prstGeom prst="rect">
                      <a:avLst/>
                    </a:prstGeom>
                    <a:noFill/>
                    <a:ln w="9525">
                      <a:noFill/>
                      <a:miter lim="800000"/>
                      <a:headEnd/>
                      <a:tailEnd/>
                    </a:ln>
                  </pic:spPr>
                </pic:pic>
              </a:graphicData>
            </a:graphic>
          </wp:inline>
        </w:drawing>
      </w:r>
    </w:p>
    <w:p>
      <w:pPr>
        <w:jc w:val="left"/>
        <w:rPr>
          <w:color w:val="000000"/>
          <w:szCs w:val="21"/>
        </w:rPr>
      </w:pPr>
    </w:p>
    <w:p>
      <w:pPr>
        <w:jc w:val="left"/>
        <w:rPr>
          <w:color w:val="000000"/>
          <w:szCs w:val="21"/>
        </w:rPr>
      </w:pPr>
      <w:r>
        <w:rPr>
          <w:rFonts w:hint="eastAsia"/>
          <w:color w:val="000000"/>
          <w:szCs w:val="21"/>
        </w:rPr>
        <w:t>第六步：填写完成之后点击</w:t>
      </w:r>
      <w:r>
        <w:rPr>
          <w:rFonts w:hint="eastAsia"/>
          <w:b/>
          <w:color w:val="FF0000"/>
          <w:szCs w:val="21"/>
        </w:rPr>
        <w:t>“保存”</w:t>
      </w:r>
      <w:r>
        <w:rPr>
          <w:rFonts w:hint="eastAsia"/>
          <w:color w:val="000000"/>
          <w:szCs w:val="21"/>
        </w:rPr>
        <w:t>按钮进行保存，确定数据没问题点击</w:t>
      </w:r>
      <w:r>
        <w:rPr>
          <w:rFonts w:hint="eastAsia"/>
          <w:b/>
          <w:color w:val="FF0000"/>
          <w:szCs w:val="21"/>
        </w:rPr>
        <w:t>“审按”</w:t>
      </w:r>
      <w:r>
        <w:rPr>
          <w:rFonts w:hint="eastAsia"/>
          <w:color w:val="000000"/>
          <w:szCs w:val="21"/>
        </w:rPr>
        <w:t>进行送审或</w:t>
      </w:r>
    </w:p>
    <w:p>
      <w:pPr>
        <w:jc w:val="left"/>
        <w:rPr>
          <w:color w:val="000000"/>
          <w:szCs w:val="21"/>
        </w:rPr>
      </w:pPr>
      <w:r>
        <w:rPr>
          <w:rFonts w:hint="eastAsia"/>
          <w:color w:val="000000"/>
          <w:szCs w:val="21"/>
        </w:rPr>
        <w:t>点击</w:t>
      </w:r>
      <w:r>
        <w:rPr>
          <w:rFonts w:hint="eastAsia"/>
          <w:b/>
          <w:color w:val="FF0000"/>
          <w:szCs w:val="21"/>
        </w:rPr>
        <w:t>“保存并送审”</w:t>
      </w:r>
      <w:r>
        <w:rPr>
          <w:rFonts w:hint="eastAsia"/>
          <w:color w:val="000000"/>
          <w:szCs w:val="21"/>
        </w:rPr>
        <w:t>按钮，提交送审之后的信息将无法进行修改。点击</w:t>
      </w:r>
      <w:r>
        <w:rPr>
          <w:rFonts w:hint="eastAsia"/>
          <w:b/>
          <w:color w:val="FF0000"/>
          <w:szCs w:val="21"/>
        </w:rPr>
        <w:t>“放弃“</w:t>
      </w:r>
      <w:r>
        <w:rPr>
          <w:rFonts w:hint="eastAsia"/>
          <w:color w:val="000000"/>
          <w:szCs w:val="21"/>
        </w:rPr>
        <w:t>按钮，取消保存：如图（1-6）</w:t>
      </w:r>
    </w:p>
    <w:p>
      <w:pPr>
        <w:jc w:val="center"/>
        <w:rPr>
          <w:color w:val="000000"/>
          <w:szCs w:val="21"/>
        </w:rPr>
      </w:pPr>
    </w:p>
    <w:p>
      <w:pPr>
        <w:widowControl/>
        <w:jc w:val="left"/>
        <w:rPr>
          <w:rFonts w:ascii="宋体" w:hAnsi="宋体" w:cs="宋体"/>
          <w:kern w:val="0"/>
          <w:sz w:val="24"/>
        </w:rPr>
      </w:pPr>
      <w:r>
        <w:rPr>
          <w:rFonts w:ascii="宋体" w:hAnsi="宋体" w:cs="宋体"/>
          <w:kern w:val="0"/>
          <w:sz w:val="24"/>
        </w:rPr>
        <w:drawing>
          <wp:inline distT="0" distB="0" distL="0" distR="0">
            <wp:extent cx="6355715" cy="1571625"/>
            <wp:effectExtent l="19050" t="0" r="6464" b="0"/>
            <wp:docPr id="23" name="图片 11" descr="C:\Users\Administrator\AppData\Roaming\Tencent\Users\453710098\QQ\WinTemp\RichOle\%BZ[7PXZ_XPR4S~~](92B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C:\Users\Administrator\AppData\Roaming\Tencent\Users\453710098\QQ\WinTemp\RichOle\%BZ[7PXZ_XPR4S~~](92B5G.png"/>
                    <pic:cNvPicPr>
                      <a:picLocks noChangeAspect="1" noChangeArrowheads="1"/>
                    </pic:cNvPicPr>
                  </pic:nvPicPr>
                  <pic:blipFill>
                    <a:blip r:embed="rId14" cstate="print"/>
                    <a:srcRect/>
                    <a:stretch>
                      <a:fillRect/>
                    </a:stretch>
                  </pic:blipFill>
                  <pic:spPr>
                    <a:xfrm>
                      <a:off x="0" y="0"/>
                      <a:ext cx="6365592" cy="1573938"/>
                    </a:xfrm>
                    <a:prstGeom prst="rect">
                      <a:avLst/>
                    </a:prstGeom>
                    <a:noFill/>
                    <a:ln w="9525">
                      <a:noFill/>
                      <a:miter lim="800000"/>
                      <a:headEnd/>
                      <a:tailEnd/>
                    </a:ln>
                  </pic:spPr>
                </pic:pic>
              </a:graphicData>
            </a:graphic>
          </wp:inline>
        </w:drawing>
      </w:r>
    </w:p>
    <w:p>
      <w:pPr>
        <w:jc w:val="center"/>
        <w:rPr>
          <w:color w:val="000000"/>
          <w:szCs w:val="21"/>
        </w:rPr>
      </w:pPr>
      <w:r>
        <w:rPr>
          <w:rFonts w:hint="eastAsia" w:ascii="宋体" w:hAnsi="宋体" w:cs="宋体"/>
          <w:kern w:val="0"/>
          <w:sz w:val="24"/>
        </w:rPr>
        <w:t>图（1-6）</w:t>
      </w:r>
    </w:p>
    <w:p>
      <w:pPr>
        <w:jc w:val="center"/>
        <w:rPr>
          <w:color w:val="000000"/>
          <w:szCs w:val="21"/>
        </w:rPr>
      </w:pPr>
    </w:p>
    <w:sectPr>
      <w:headerReference r:id="rId3" w:type="default"/>
      <w:footerReference r:id="rId4" w:type="default"/>
      <w:pgSz w:w="11906" w:h="16838"/>
      <w:pgMar w:top="1423" w:right="1287" w:bottom="1559" w:left="1287" w:header="777" w:footer="38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pPr w:leftFromText="180" w:rightFromText="180" w:vertAnchor="text" w:horzAnchor="page" w:tblpX="1350" w:tblpY="164"/>
      <w:tblOverlap w:val="never"/>
      <w:tblW w:w="9000" w:type="dxa"/>
      <w:tblInd w:w="0" w:type="dxa"/>
      <w:tblLayout w:type="fixed"/>
      <w:tblCellMar>
        <w:top w:w="0" w:type="dxa"/>
        <w:left w:w="108" w:type="dxa"/>
        <w:bottom w:w="0" w:type="dxa"/>
        <w:right w:w="108" w:type="dxa"/>
      </w:tblCellMar>
    </w:tblPr>
    <w:tblGrid>
      <w:gridCol w:w="5940"/>
      <w:gridCol w:w="3060"/>
    </w:tblGrid>
    <w:tr>
      <w:tblPrEx>
        <w:tblLayout w:type="fixed"/>
        <w:tblCellMar>
          <w:top w:w="0" w:type="dxa"/>
          <w:left w:w="108" w:type="dxa"/>
          <w:bottom w:w="0" w:type="dxa"/>
          <w:right w:w="108" w:type="dxa"/>
        </w:tblCellMar>
      </w:tblPrEx>
      <w:tc>
        <w:tcPr>
          <w:tcW w:w="5940" w:type="dxa"/>
          <w:vAlign w:val="center"/>
        </w:tcPr>
        <w:p>
          <w:pPr>
            <w:pStyle w:val="3"/>
            <w:ind w:firstLine="308"/>
            <w:jc w:val="both"/>
          </w:pPr>
        </w:p>
      </w:tc>
      <w:tc>
        <w:tcPr>
          <w:tcW w:w="3060" w:type="dxa"/>
          <w:vAlign w:val="center"/>
        </w:tcPr>
        <w:p>
          <w:pPr>
            <w:pStyle w:val="3"/>
            <w:jc w:val="both"/>
          </w:pPr>
        </w:p>
      </w:tc>
    </w:tr>
    <w:tr>
      <w:tblPrEx>
        <w:tblLayout w:type="fixed"/>
        <w:tblCellMar>
          <w:top w:w="0" w:type="dxa"/>
          <w:left w:w="108" w:type="dxa"/>
          <w:bottom w:w="0" w:type="dxa"/>
          <w:right w:w="108" w:type="dxa"/>
        </w:tblCellMar>
      </w:tblPrEx>
      <w:tc>
        <w:tcPr>
          <w:tcW w:w="5940" w:type="dxa"/>
          <w:vAlign w:val="center"/>
        </w:tcPr>
        <w:p>
          <w:pPr>
            <w:pStyle w:val="3"/>
            <w:ind w:firstLine="308"/>
            <w:jc w:val="both"/>
          </w:pPr>
        </w:p>
      </w:tc>
      <w:tc>
        <w:tcPr>
          <w:tcW w:w="3060" w:type="dxa"/>
          <w:vAlign w:val="center"/>
        </w:tcPr>
        <w:p>
          <w:pPr>
            <w:pStyle w:val="3"/>
            <w:jc w:val="both"/>
          </w:pPr>
        </w:p>
      </w:tc>
    </w:tr>
    <w:tr>
      <w:tblPrEx>
        <w:tblLayout w:type="fixed"/>
        <w:tblCellMar>
          <w:top w:w="0" w:type="dxa"/>
          <w:left w:w="108" w:type="dxa"/>
          <w:bottom w:w="0" w:type="dxa"/>
          <w:right w:w="108" w:type="dxa"/>
        </w:tblCellMar>
      </w:tblPrEx>
      <w:tc>
        <w:tcPr>
          <w:tcW w:w="5940" w:type="dxa"/>
          <w:vAlign w:val="center"/>
        </w:tcPr>
        <w:p>
          <w:pPr>
            <w:pStyle w:val="3"/>
            <w:ind w:firstLine="308"/>
            <w:jc w:val="both"/>
          </w:pPr>
        </w:p>
      </w:tc>
      <w:tc>
        <w:tcPr>
          <w:tcW w:w="3060" w:type="dxa"/>
          <w:vAlign w:val="center"/>
        </w:tcPr>
        <w:p>
          <w:pPr>
            <w:pStyle w:val="3"/>
            <w:jc w:val="both"/>
          </w:pPr>
        </w:p>
      </w:tc>
    </w:tr>
    <w:tr>
      <w:tblPrEx>
        <w:tblLayout w:type="fixed"/>
        <w:tblCellMar>
          <w:top w:w="0" w:type="dxa"/>
          <w:left w:w="108" w:type="dxa"/>
          <w:bottom w:w="0" w:type="dxa"/>
          <w:right w:w="108" w:type="dxa"/>
        </w:tblCellMar>
      </w:tblPrEx>
      <w:trPr>
        <w:trHeight w:val="208" w:hRule="atLeast"/>
      </w:trPr>
      <w:tc>
        <w:tcPr>
          <w:tcW w:w="5940" w:type="dxa"/>
          <w:vAlign w:val="center"/>
        </w:tcPr>
        <w:p>
          <w:pPr>
            <w:rPr>
              <w:rFonts w:ascii="Arial" w:hAnsi="Arial"/>
              <w:sz w:val="18"/>
            </w:rPr>
          </w:pPr>
        </w:p>
      </w:tc>
      <w:tc>
        <w:tcPr>
          <w:tcW w:w="3060" w:type="dxa"/>
          <w:vAlign w:val="center"/>
        </w:tcPr>
        <w:p>
          <w:pPr>
            <w:jc w:val="right"/>
            <w:rPr>
              <w:rFonts w:ascii="Arial" w:hAnsi="Arial"/>
              <w:sz w:val="18"/>
              <w:szCs w:val="18"/>
            </w:rPr>
          </w:pPr>
        </w:p>
      </w:tc>
    </w:tr>
  </w:tbl>
  <w:p>
    <w:pPr>
      <w:pStyle w:val="3"/>
    </w:pPr>
    <w:r>
      <w:pict>
        <v:line id="_x0000_s4097" o:spid="_x0000_s4097" o:spt="20" style="position:absolute;left:0pt;margin-left:-1.5pt;margin-top:6.85pt;height:0pt;width:453.55pt;z-index:251658240;mso-width-relative:page;mso-height-relative:page;" coordsize="21600,21600">
          <v:path arrowok="t"/>
          <v:fill focussize="0,0"/>
          <v:stroke weight="1.5pt"/>
          <v:imagedata o:title=""/>
          <o:lock v:ext="edit"/>
        </v:line>
      </w:pict>
    </w:r>
  </w:p>
  <w:p>
    <w:pPr>
      <w:pStyle w:val="3"/>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tabs>
        <w:tab w:val="right" w:pos="8312"/>
        <w:tab w:val="clear" w:pos="8306"/>
      </w:tabs>
      <w:jc w:val="both"/>
      <w:rPr>
        <w:b/>
        <w:bCs/>
        <w:sz w:val="21"/>
      </w:rP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1275"/>
    <w:rsid w:val="00035568"/>
    <w:rsid w:val="00050CAA"/>
    <w:rsid w:val="00051F1D"/>
    <w:rsid w:val="0007086B"/>
    <w:rsid w:val="000938F7"/>
    <w:rsid w:val="000A6A60"/>
    <w:rsid w:val="000A7A18"/>
    <w:rsid w:val="000B0651"/>
    <w:rsid w:val="000B56D2"/>
    <w:rsid w:val="000C2D6D"/>
    <w:rsid w:val="000F21FA"/>
    <w:rsid w:val="000F4249"/>
    <w:rsid w:val="000F773B"/>
    <w:rsid w:val="0010060E"/>
    <w:rsid w:val="00101750"/>
    <w:rsid w:val="0010396C"/>
    <w:rsid w:val="00142B61"/>
    <w:rsid w:val="00147310"/>
    <w:rsid w:val="00172A27"/>
    <w:rsid w:val="00176397"/>
    <w:rsid w:val="001D6A03"/>
    <w:rsid w:val="00253A8D"/>
    <w:rsid w:val="00267598"/>
    <w:rsid w:val="0027282A"/>
    <w:rsid w:val="00282923"/>
    <w:rsid w:val="00296C2B"/>
    <w:rsid w:val="002A70AE"/>
    <w:rsid w:val="002D02BE"/>
    <w:rsid w:val="002D774D"/>
    <w:rsid w:val="002F3F70"/>
    <w:rsid w:val="002F6802"/>
    <w:rsid w:val="00327839"/>
    <w:rsid w:val="003330D6"/>
    <w:rsid w:val="00337A86"/>
    <w:rsid w:val="00340345"/>
    <w:rsid w:val="00370DF7"/>
    <w:rsid w:val="003932E1"/>
    <w:rsid w:val="003A40F6"/>
    <w:rsid w:val="003F0B69"/>
    <w:rsid w:val="003F76C2"/>
    <w:rsid w:val="00404891"/>
    <w:rsid w:val="004235B7"/>
    <w:rsid w:val="00431375"/>
    <w:rsid w:val="00450247"/>
    <w:rsid w:val="00464CE7"/>
    <w:rsid w:val="004B5EF9"/>
    <w:rsid w:val="004C182B"/>
    <w:rsid w:val="00502593"/>
    <w:rsid w:val="00506747"/>
    <w:rsid w:val="00514057"/>
    <w:rsid w:val="00552507"/>
    <w:rsid w:val="005542D9"/>
    <w:rsid w:val="005A205B"/>
    <w:rsid w:val="005C5C5D"/>
    <w:rsid w:val="0061254A"/>
    <w:rsid w:val="006226A1"/>
    <w:rsid w:val="00633957"/>
    <w:rsid w:val="00645D4A"/>
    <w:rsid w:val="006673CA"/>
    <w:rsid w:val="00667A82"/>
    <w:rsid w:val="00677887"/>
    <w:rsid w:val="006B3939"/>
    <w:rsid w:val="006C4D1A"/>
    <w:rsid w:val="006D3C49"/>
    <w:rsid w:val="006D7058"/>
    <w:rsid w:val="0070534D"/>
    <w:rsid w:val="00726E88"/>
    <w:rsid w:val="00734F95"/>
    <w:rsid w:val="00747C11"/>
    <w:rsid w:val="00750074"/>
    <w:rsid w:val="00756C86"/>
    <w:rsid w:val="007570FA"/>
    <w:rsid w:val="00785991"/>
    <w:rsid w:val="00791B42"/>
    <w:rsid w:val="00791DF1"/>
    <w:rsid w:val="007A3FD5"/>
    <w:rsid w:val="007A4370"/>
    <w:rsid w:val="007B0DD6"/>
    <w:rsid w:val="007B74BA"/>
    <w:rsid w:val="007D5936"/>
    <w:rsid w:val="00800565"/>
    <w:rsid w:val="00801303"/>
    <w:rsid w:val="008403F2"/>
    <w:rsid w:val="00873744"/>
    <w:rsid w:val="00873F2F"/>
    <w:rsid w:val="0088018F"/>
    <w:rsid w:val="008840FA"/>
    <w:rsid w:val="008F065F"/>
    <w:rsid w:val="00902160"/>
    <w:rsid w:val="00914F92"/>
    <w:rsid w:val="0092688F"/>
    <w:rsid w:val="00934EE2"/>
    <w:rsid w:val="009526D5"/>
    <w:rsid w:val="00955193"/>
    <w:rsid w:val="0097135B"/>
    <w:rsid w:val="009B611C"/>
    <w:rsid w:val="009B7369"/>
    <w:rsid w:val="009E0016"/>
    <w:rsid w:val="009E3873"/>
    <w:rsid w:val="009F25DC"/>
    <w:rsid w:val="00A15A88"/>
    <w:rsid w:val="00A16EA1"/>
    <w:rsid w:val="00A248B0"/>
    <w:rsid w:val="00A85A67"/>
    <w:rsid w:val="00A9060D"/>
    <w:rsid w:val="00AC6F00"/>
    <w:rsid w:val="00AD2AA4"/>
    <w:rsid w:val="00AD4845"/>
    <w:rsid w:val="00AE2221"/>
    <w:rsid w:val="00AE795A"/>
    <w:rsid w:val="00B15262"/>
    <w:rsid w:val="00B25C12"/>
    <w:rsid w:val="00B46387"/>
    <w:rsid w:val="00B91669"/>
    <w:rsid w:val="00B92957"/>
    <w:rsid w:val="00B92F74"/>
    <w:rsid w:val="00BA0E74"/>
    <w:rsid w:val="00BA2727"/>
    <w:rsid w:val="00BA2B46"/>
    <w:rsid w:val="00BD0D29"/>
    <w:rsid w:val="00C04611"/>
    <w:rsid w:val="00C20C6C"/>
    <w:rsid w:val="00C271B7"/>
    <w:rsid w:val="00C43733"/>
    <w:rsid w:val="00C45C3A"/>
    <w:rsid w:val="00C510FD"/>
    <w:rsid w:val="00C774F6"/>
    <w:rsid w:val="00CB60EB"/>
    <w:rsid w:val="00CC7D22"/>
    <w:rsid w:val="00CE3FDF"/>
    <w:rsid w:val="00D03737"/>
    <w:rsid w:val="00D066AF"/>
    <w:rsid w:val="00D07CC1"/>
    <w:rsid w:val="00D13141"/>
    <w:rsid w:val="00D153B6"/>
    <w:rsid w:val="00D169FB"/>
    <w:rsid w:val="00D664E6"/>
    <w:rsid w:val="00D70855"/>
    <w:rsid w:val="00D8125A"/>
    <w:rsid w:val="00DB5CDE"/>
    <w:rsid w:val="00DD30E2"/>
    <w:rsid w:val="00DE0485"/>
    <w:rsid w:val="00E22F4F"/>
    <w:rsid w:val="00E335EC"/>
    <w:rsid w:val="00E47D76"/>
    <w:rsid w:val="00E533D8"/>
    <w:rsid w:val="00E63F1A"/>
    <w:rsid w:val="00E66F00"/>
    <w:rsid w:val="00E740BB"/>
    <w:rsid w:val="00E80392"/>
    <w:rsid w:val="00E8148F"/>
    <w:rsid w:val="00E86775"/>
    <w:rsid w:val="00E92668"/>
    <w:rsid w:val="00E975FB"/>
    <w:rsid w:val="00EC3D89"/>
    <w:rsid w:val="00F30835"/>
    <w:rsid w:val="00FB3F91"/>
    <w:rsid w:val="01D47302"/>
    <w:rsid w:val="099E78B3"/>
    <w:rsid w:val="14353980"/>
    <w:rsid w:val="2ABB4BD7"/>
    <w:rsid w:val="32FD3AFD"/>
    <w:rsid w:val="409A2EF0"/>
    <w:rsid w:val="78ED7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style>
  <w:style w:type="character" w:styleId="7">
    <w:name w:val="FollowedHyperlink"/>
    <w:basedOn w:val="5"/>
    <w:semiHidden/>
    <w:unhideWhenUsed/>
    <w:qFormat/>
    <w:uiPriority w:val="99"/>
    <w:rPr>
      <w:color w:val="800080"/>
      <w:u w:val="single"/>
    </w:rPr>
  </w:style>
  <w:style w:type="character" w:styleId="8">
    <w:name w:val="Hyperlink"/>
    <w:unhideWhenUsed/>
    <w:qFormat/>
    <w:uiPriority w:val="99"/>
    <w:rPr>
      <w:color w:val="0563C1"/>
      <w:u w:val="single"/>
    </w:rPr>
  </w:style>
  <w:style w:type="character" w:customStyle="1" w:styleId="10">
    <w:name w:val="批注框文本 Char"/>
    <w:basedOn w:val="5"/>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187</Words>
  <Characters>1069</Characters>
  <Lines>8</Lines>
  <Paragraphs>2</Paragraphs>
  <TotalTime>0</TotalTime>
  <ScaleCrop>false</ScaleCrop>
  <LinksUpToDate>false</LinksUpToDate>
  <CharactersWithSpaces>1254</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2016-01-06T02:55:00Z</dcterms:created>
  <dc:creator>王川</dc:creator>
  <cp:lastModifiedBy>Administrator</cp:lastModifiedBy>
  <dcterms:modified xsi:type="dcterms:W3CDTF">2020-09-10T08:28:09Z</dcterms:modified>
  <dc:title>软件个性化需求修改文档</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